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LifeStance Health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001-40478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86-1832801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4800 N. Scottsdale Road</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Suite 2500</w:t>
      </w:r>
    </w:p>
    <w:p>
      <w:pPr>
        <w:spacing w:after="0" w:line="9"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Scottsdale, Arizona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85251</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425 279-8500</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LFST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June 2, 2026, LifeStance Health Group, Inc. (the “Company”) held its annual meeting of stockholders (the “Annual Meeting”). The following is a brief description of each proposal voted upon at the Annual Meeting and the final voting results for each such proposal.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stockholders of the Company elected the director nominees listed below to serve on the Company’s Board of Directors as members of Class II for a term of three years. The results of the vote were as follows:</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Nominee</w:t>
            </w: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For</w:t>
            </w:r>
          </w:p>
        </w:tc>
        <w:tc>
          <w:tcPr>
            <w:tcW w:w="8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Bourdon</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244,968,319</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83,966,052</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29,782,714</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Robert Bessler</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280,015,618</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48,918,753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29,782,714</w:t>
            </w:r>
          </w:p>
        </w:tc>
        <w:tc>
          <w:tcPr>
            <w:tcW w:w="60" w:type="dxa"/>
            <w:vAlign w:val="bottom"/>
          </w:tcPr>
          <w:p>
            <w:pPr>
              <w:spacing w:after="0"/>
              <w:rPr>
                <w:sz w:val="20"/>
                <w:szCs w:val="20"/>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the Company’s Independent Registered Public Accounting Firm</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stockholders of the Company ratified the selection of PricewaterhouseCoopers LLP as the Company’s independent registered public accounting firm for the year ended December 31, 2026. The results of the vote were as follows:</w:t>
      </w:r>
    </w:p>
    <w:p>
      <w:pPr>
        <w:spacing w:after="0" w:line="182" w:lineRule="exact"/>
        <w:rPr>
          <w:sz w:val="20"/>
          <w:szCs w:val="20"/>
          <w:color w:val="auto"/>
        </w:rPr>
      </w:pPr>
    </w:p>
    <w:tbl>
      <w:tblPr>
        <w:tblLayout w:type="fixed"/>
        <w:tblInd w:w="1100" w:type="dxa"/>
        <w:tblCellMar>
          <w:top w:w="0" w:type="dxa"/>
          <w:left w:w="0" w:type="dxa"/>
          <w:bottom w:w="0" w:type="dxa"/>
          <w:right w:w="0" w:type="dxa"/>
        </w:tblCellMar>
      </w:tblPr>
      <w:tr>
        <w:trPr>
          <w:trHeight w:val="187"/>
        </w:trPr>
        <w:tc>
          <w:tcPr>
            <w:tcW w:w="3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10"/>
        </w:trPr>
        <w:tc>
          <w:tcPr>
            <w:tcW w:w="298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357,756,707</w:t>
            </w:r>
          </w:p>
        </w:tc>
        <w:tc>
          <w:tcPr>
            <w:tcW w:w="1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rPr>
              <w:t>209,431</w:t>
            </w:r>
          </w:p>
        </w:tc>
        <w:tc>
          <w:tcPr>
            <w:tcW w:w="8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750,947</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Advisory Vote on Named Executive Officer Compensation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stockholders of the Company approved, on a non-binding advisory basis, the Company’s named executive officer compensation. The results of the vote were as follows:</w:t>
      </w:r>
    </w:p>
    <w:p>
      <w:pPr>
        <w:spacing w:after="0" w:line="182" w:lineRule="exact"/>
        <w:rPr>
          <w:sz w:val="20"/>
          <w:szCs w:val="20"/>
          <w:color w:val="auto"/>
        </w:rPr>
      </w:pPr>
    </w:p>
    <w:tbl>
      <w:tblPr>
        <w:tblLayout w:type="fixed"/>
        <w:tblInd w:w="1100" w:type="dxa"/>
        <w:tblCellMar>
          <w:top w:w="0" w:type="dxa"/>
          <w:left w:w="0" w:type="dxa"/>
          <w:bottom w:w="0" w:type="dxa"/>
          <w:right w:w="0" w:type="dxa"/>
        </w:tblCellMar>
      </w:tblPr>
      <w:tr>
        <w:trPr>
          <w:trHeight w:val="187"/>
        </w:trPr>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1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322,904,359</w:t>
            </w: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5,675,861</w:t>
            </w:r>
          </w:p>
        </w:tc>
        <w:tc>
          <w:tcPr>
            <w:tcW w:w="8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354,151</w:t>
            </w:r>
          </w:p>
        </w:tc>
        <w:tc>
          <w:tcPr>
            <w:tcW w:w="8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29,782,714</w:t>
            </w:r>
          </w:p>
        </w:tc>
      </w:tr>
    </w:tbl>
    <w:p>
      <w:pPr>
        <w:sectPr>
          <w:pgSz w:w="11900" w:h="16838" w:orient="portrait"/>
          <w:cols w:equalWidth="0" w:num="1">
            <w:col w:w="10940"/>
          </w:cols>
          <w:pgMar w:left="440" w:top="293"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5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LIFESTANCE HEALTH GROUP,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Ryan Pardo</w:t>
            </w:r>
          </w:p>
        </w:tc>
      </w:tr>
      <w:tr>
        <w:trPr>
          <w:trHeight w:val="205"/>
        </w:trPr>
        <w:tc>
          <w:tcPr>
            <w:tcW w:w="3440" w:type="dxa"/>
            <w:vAlign w:val="bottom"/>
          </w:tcPr>
          <w:p>
            <w:pPr>
              <w:spacing w:after="0"/>
              <w:rPr>
                <w:sz w:val="17"/>
                <w:szCs w:val="17"/>
                <w:color w:val="auto"/>
              </w:rPr>
            </w:pPr>
          </w:p>
        </w:tc>
        <w:tc>
          <w:tcPr>
            <w:tcW w:w="2720" w:type="dxa"/>
            <w:vAlign w:val="bottom"/>
          </w:tcPr>
          <w:p>
            <w:pPr>
              <w:ind w:left="20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Ryan Pardo</w:t>
            </w:r>
          </w:p>
        </w:tc>
      </w:tr>
      <w:tr>
        <w:trPr>
          <w:trHeight w:val="234"/>
        </w:trPr>
        <w:tc>
          <w:tcPr>
            <w:tcW w:w="344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2026-06-04T15:51:50Z</dcterms:created>
  <dcterms:modified xsi:type="dcterms:W3CDTF">2026-06-04T15:51:50Z</dcterms:modified>
</cp:coreProperties>
</file>