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960" w:hanging="3899"/>
        <w:spacing w:after="0" w:line="303"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001-40478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LifeStance Health Group, Inc.</w:t>
      </w:r>
    </w:p>
    <w:p>
      <w:pPr>
        <w:sectPr>
          <w:pgSz w:w="11900" w:h="16838" w:orient="portrait"/>
          <w:cols w:equalWidth="0" w:num="1">
            <w:col w:w="11240"/>
          </w:cols>
          <w:pgMar w:left="320" w:top="1127"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b w:val="1"/>
          <w:bCs w:val="1"/>
          <w:color w:val="auto"/>
        </w:rPr>
        <w:t>4800 N. Scottsdale Road Suite 2500</w:t>
      </w:r>
    </w:p>
    <w:p>
      <w:pPr>
        <w:spacing w:after="0" w:line="23"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Scottsdale, Arizona</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86-1832801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85251</w:t>
      </w:r>
    </w:p>
    <w:p>
      <w:pPr>
        <w:spacing w:after="0" w:line="27" w:lineRule="exact"/>
        <w:rPr>
          <w:sz w:val="24"/>
          <w:szCs w:val="24"/>
          <w:color w:val="auto"/>
        </w:rPr>
      </w:pPr>
    </w:p>
    <w:p>
      <w:pPr>
        <w:sectPr>
          <w:pgSz w:w="11900" w:h="16838" w:orient="portrait"/>
          <w:cols w:equalWidth="0" w:num="2">
            <w:col w:w="7640" w:space="300"/>
            <w:col w:w="3300"/>
          </w:cols>
          <w:pgMar w:left="320" w:top="1127"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(602) 767-2100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67310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LFST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2" w:lineRule="exact"/>
        <w:rPr>
          <w:sz w:val="24"/>
          <w:szCs w:val="24"/>
          <w:color w:val="auto"/>
        </w:rPr>
      </w:pPr>
    </w:p>
    <w:p>
      <w:pPr>
        <w:ind w:right="3540"/>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46" w:lineRule="exact"/>
        <w:rPr>
          <w:sz w:val="24"/>
          <w:szCs w:val="24"/>
          <w:color w:val="auto"/>
        </w:rPr>
      </w:pPr>
    </w:p>
    <w:p>
      <w:pPr>
        <w:ind w:right="560"/>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Stock Market on June 30, 2024 was $682,900,584.</w:t>
      </w: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19, 2025 was 384,550,152.</w:t>
      </w:r>
    </w:p>
    <w:p>
      <w:pPr>
        <w:spacing w:after="0" w:line="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 w:lineRule="exact"/>
        <w:rPr>
          <w:sz w:val="24"/>
          <w:szCs w:val="24"/>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2025 Annual Meeting of Stockholders (the "Proxy Statement") are incorporated by reference into Part III of this Annual Report on Form 10-K where indicated. The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8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1"/>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1"/>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1"/>
                <w:w w:val="99"/>
              </w:rPr>
              <w:t>Risk Factors</w:t>
            </w:r>
          </w:p>
        </w:tc>
        <w:tc>
          <w:tcPr>
            <w:tcW w:w="83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1"/>
                <w:w w:val="99"/>
              </w:rPr>
              <w:t>Unresolved Staff Comments</w:t>
            </w:r>
          </w:p>
        </w:tc>
        <w:tc>
          <w:tcPr>
            <w:tcW w:w="72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1"/>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1"/>
                <w:w w:val="98"/>
              </w:rPr>
              <w:t>Cybersecurity</w:t>
            </w:r>
          </w:p>
        </w:tc>
        <w:tc>
          <w:tcPr>
            <w:tcW w:w="828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1"/>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1"/>
                <w:w w:val="98"/>
              </w:rPr>
              <w:t>Properties</w:t>
            </w:r>
          </w:p>
        </w:tc>
        <w:tc>
          <w:tcPr>
            <w:tcW w:w="8560" w:type="dxa"/>
            <w:vAlign w:val="bottom"/>
            <w:gridSpan w:val="2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1"/>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1"/>
          </w:tcPr>
          <w:p>
            <w:pPr>
              <w:spacing w:after="0" w:line="20" w:lineRule="exact"/>
              <w:rPr>
                <w:sz w:val="1"/>
                <w:szCs w:val="1"/>
                <w:color w:val="auto"/>
              </w:rPr>
            </w:pPr>
          </w:p>
        </w:tc>
        <w:tc>
          <w:tcPr>
            <w:tcW w:w="40" w:type="dxa"/>
            <w:vAlign w:val="bottom"/>
            <w:shd w:val="clear" w:color="auto" w:fill="0000E1"/>
          </w:tcPr>
          <w:p>
            <w:pPr>
              <w:spacing w:after="0" w:line="20" w:lineRule="exact"/>
              <w:rPr>
                <w:sz w:val="1"/>
                <w:szCs w:val="1"/>
                <w:color w:val="auto"/>
              </w:rPr>
            </w:pPr>
          </w:p>
        </w:tc>
        <w:tc>
          <w:tcPr>
            <w:tcW w:w="520" w:type="dxa"/>
            <w:vAlign w:val="bottom"/>
            <w:gridSpan w:val="3"/>
            <w:shd w:val="clear" w:color="auto" w:fill="0000E1"/>
          </w:tcPr>
          <w:p>
            <w:pPr>
              <w:spacing w:after="0" w:line="20" w:lineRule="exact"/>
              <w:rPr>
                <w:sz w:val="1"/>
                <w:szCs w:val="1"/>
                <w:color w:val="auto"/>
              </w:rPr>
            </w:pPr>
          </w:p>
        </w:tc>
        <w:tc>
          <w:tcPr>
            <w:tcW w:w="240" w:type="dxa"/>
            <w:vAlign w:val="bottom"/>
            <w:tcBorders>
              <w:left w:val="single" w:sz="8" w:color="0000E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1"/>
            </w:tcBorders>
          </w:tcPr>
          <w:p>
            <w:pPr>
              <w:spacing w:after="0"/>
              <w:rPr>
                <w:sz w:val="24"/>
                <w:szCs w:val="24"/>
                <w:color w:val="auto"/>
              </w:rPr>
            </w:pPr>
          </w:p>
        </w:tc>
        <w:tc>
          <w:tcPr>
            <w:tcW w:w="100" w:type="dxa"/>
            <w:vAlign w:val="bottom"/>
            <w:tcBorders>
              <w:top w:val="single" w:sz="8" w:color="0000E1"/>
            </w:tcBorders>
          </w:tcPr>
          <w:p>
            <w:pPr>
              <w:spacing w:after="0"/>
              <w:rPr>
                <w:sz w:val="24"/>
                <w:szCs w:val="24"/>
                <w:color w:val="auto"/>
              </w:rPr>
            </w:pPr>
          </w:p>
        </w:tc>
        <w:tc>
          <w:tcPr>
            <w:tcW w:w="20" w:type="dxa"/>
            <w:vAlign w:val="bottom"/>
            <w:tcBorders>
              <w:top w:val="single" w:sz="8" w:color="0000E1"/>
            </w:tcBorders>
          </w:tcPr>
          <w:p>
            <w:pPr>
              <w:spacing w:after="0"/>
              <w:rPr>
                <w:sz w:val="24"/>
                <w:szCs w:val="24"/>
                <w:color w:val="auto"/>
              </w:rPr>
            </w:pPr>
          </w:p>
        </w:tc>
        <w:tc>
          <w:tcPr>
            <w:tcW w:w="40" w:type="dxa"/>
            <w:vAlign w:val="bottom"/>
            <w:tcBorders>
              <w:top w:val="single" w:sz="8" w:color="0000E1"/>
            </w:tcBorders>
          </w:tcPr>
          <w:p>
            <w:pPr>
              <w:spacing w:after="0"/>
              <w:rPr>
                <w:sz w:val="24"/>
                <w:szCs w:val="24"/>
                <w:color w:val="auto"/>
              </w:rPr>
            </w:pPr>
          </w:p>
        </w:tc>
        <w:tc>
          <w:tcPr>
            <w:tcW w:w="120" w:type="dxa"/>
            <w:vAlign w:val="bottom"/>
            <w:tcBorders>
              <w:top w:val="single" w:sz="8" w:color="0000E1"/>
            </w:tcBorders>
          </w:tcPr>
          <w:p>
            <w:pPr>
              <w:spacing w:after="0"/>
              <w:rPr>
                <w:sz w:val="24"/>
                <w:szCs w:val="24"/>
                <w:color w:val="auto"/>
              </w:rPr>
            </w:pPr>
          </w:p>
        </w:tc>
        <w:tc>
          <w:tcPr>
            <w:tcW w:w="100" w:type="dxa"/>
            <w:vAlign w:val="bottom"/>
            <w:tcBorders>
              <w:top w:val="single" w:sz="8" w:color="0000E1"/>
            </w:tcBorders>
          </w:tcPr>
          <w:p>
            <w:pPr>
              <w:spacing w:after="0"/>
              <w:rPr>
                <w:sz w:val="24"/>
                <w:szCs w:val="24"/>
                <w:color w:val="auto"/>
              </w:rPr>
            </w:pPr>
          </w:p>
        </w:tc>
        <w:tc>
          <w:tcPr>
            <w:tcW w:w="300" w:type="dxa"/>
            <w:vAlign w:val="bottom"/>
            <w:tcBorders>
              <w:top w:val="single" w:sz="8" w:color="0000E1"/>
            </w:tcBorders>
          </w:tcPr>
          <w:p>
            <w:pPr>
              <w:spacing w:after="0"/>
              <w:rPr>
                <w:sz w:val="24"/>
                <w:szCs w:val="24"/>
                <w:color w:val="auto"/>
              </w:rPr>
            </w:pPr>
          </w:p>
        </w:tc>
        <w:tc>
          <w:tcPr>
            <w:tcW w:w="240" w:type="dxa"/>
            <w:vAlign w:val="bottom"/>
            <w:tcBorders>
              <w:top w:val="single" w:sz="8" w:color="0000E1"/>
            </w:tcBorders>
          </w:tcPr>
          <w:p>
            <w:pPr>
              <w:spacing w:after="0"/>
              <w:rPr>
                <w:sz w:val="24"/>
                <w:szCs w:val="24"/>
                <w:color w:val="auto"/>
              </w:rPr>
            </w:pPr>
          </w:p>
        </w:tc>
        <w:tc>
          <w:tcPr>
            <w:tcW w:w="220" w:type="dxa"/>
            <w:vAlign w:val="bottom"/>
            <w:tcBorders>
              <w:top w:val="single" w:sz="8" w:color="0000E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1"/>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E1"/>
              <w:bottom w:val="single" w:sz="8" w:color="0000E1"/>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1"/>
                <w:w w:val="98"/>
              </w:rPr>
              <w:t>[Reserved]</w:t>
            </w:r>
          </w:p>
        </w:tc>
        <w:tc>
          <w:tcPr>
            <w:tcW w:w="7300" w:type="dxa"/>
            <w:vAlign w:val="bottom"/>
            <w:tcBorders>
              <w:top w:val="single" w:sz="8" w:color="0000E1"/>
            </w:tcBorders>
            <w:gridSpan w:val="19"/>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E1"/>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1"/>
                <w:w w:val="99"/>
              </w:rPr>
              <w:t>Management’s Discussion and Analysis of Financial Condition and Results of Operations</w:t>
            </w:r>
          </w:p>
        </w:tc>
        <w:tc>
          <w:tcPr>
            <w:tcW w:w="28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1"/>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1"/>
              <w:bottom w:val="single" w:sz="8" w:color="0000E1"/>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1"/>
                <w:w w:val="99"/>
              </w:rPr>
              <w:t>Financial Statements and Supplementary Data</w:t>
            </w:r>
          </w:p>
        </w:tc>
        <w:tc>
          <w:tcPr>
            <w:tcW w:w="1020" w:type="dxa"/>
            <w:vAlign w:val="bottom"/>
            <w:tcBorders>
              <w:top w:val="single" w:sz="8" w:color="0000E1"/>
            </w:tcBorders>
            <w:gridSpan w:val="3"/>
          </w:tcPr>
          <w:p>
            <w:pPr>
              <w:spacing w:after="0"/>
              <w:rPr>
                <w:sz w:val="17"/>
                <w:szCs w:val="17"/>
                <w:color w:val="auto"/>
              </w:rPr>
            </w:pPr>
          </w:p>
        </w:tc>
        <w:tc>
          <w:tcPr>
            <w:tcW w:w="49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1"/>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1"/>
              <w:bottom w:val="single" w:sz="8" w:color="0000E1"/>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1"/>
                <w:w w:val="99"/>
              </w:rPr>
              <w:t>Controls and Procedures</w:t>
            </w:r>
          </w:p>
        </w:tc>
        <w:tc>
          <w:tcPr>
            <w:tcW w:w="4740" w:type="dxa"/>
            <w:vAlign w:val="bottom"/>
            <w:tcBorders>
              <w:top w:val="single" w:sz="8" w:color="0000E1"/>
            </w:tcBorders>
            <w:gridSpan w:val="12"/>
          </w:tcPr>
          <w:p>
            <w:pPr>
              <w:spacing w:after="0"/>
              <w:rPr>
                <w:sz w:val="17"/>
                <w:szCs w:val="17"/>
                <w:color w:val="auto"/>
              </w:rPr>
            </w:pP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1"/>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1"/>
          </w:tcPr>
          <w:p>
            <w:pPr>
              <w:spacing w:after="0" w:line="20" w:lineRule="exact"/>
              <w:rPr>
                <w:sz w:val="1"/>
                <w:szCs w:val="1"/>
                <w:color w:val="auto"/>
              </w:rPr>
            </w:pPr>
          </w:p>
        </w:tc>
        <w:tc>
          <w:tcPr>
            <w:tcW w:w="560" w:type="dxa"/>
            <w:vAlign w:val="bottom"/>
            <w:gridSpan w:val="4"/>
            <w:shd w:val="clear" w:color="auto" w:fill="0000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1"/>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1"/>
            </w:tcBorders>
          </w:tcPr>
          <w:p>
            <w:pPr>
              <w:spacing w:after="0"/>
              <w:rPr>
                <w:sz w:val="24"/>
                <w:szCs w:val="24"/>
                <w:color w:val="auto"/>
              </w:rPr>
            </w:pPr>
          </w:p>
        </w:tc>
        <w:tc>
          <w:tcPr>
            <w:tcW w:w="100" w:type="dxa"/>
            <w:vAlign w:val="bottom"/>
            <w:tcBorders>
              <w:top w:val="single" w:sz="8" w:color="0000E1"/>
            </w:tcBorders>
          </w:tcPr>
          <w:p>
            <w:pPr>
              <w:spacing w:after="0"/>
              <w:rPr>
                <w:sz w:val="24"/>
                <w:szCs w:val="24"/>
                <w:color w:val="auto"/>
              </w:rPr>
            </w:pPr>
          </w:p>
        </w:tc>
        <w:tc>
          <w:tcPr>
            <w:tcW w:w="20" w:type="dxa"/>
            <w:vAlign w:val="bottom"/>
            <w:tcBorders>
              <w:top w:val="single" w:sz="8" w:color="0000E1"/>
            </w:tcBorders>
          </w:tcPr>
          <w:p>
            <w:pPr>
              <w:spacing w:after="0"/>
              <w:rPr>
                <w:sz w:val="24"/>
                <w:szCs w:val="24"/>
                <w:color w:val="auto"/>
              </w:rPr>
            </w:pPr>
          </w:p>
        </w:tc>
        <w:tc>
          <w:tcPr>
            <w:tcW w:w="40" w:type="dxa"/>
            <w:vAlign w:val="bottom"/>
            <w:tcBorders>
              <w:top w:val="single" w:sz="8" w:color="0000E1"/>
            </w:tcBorders>
          </w:tcPr>
          <w:p>
            <w:pPr>
              <w:spacing w:after="0"/>
              <w:rPr>
                <w:sz w:val="24"/>
                <w:szCs w:val="24"/>
                <w:color w:val="auto"/>
              </w:rPr>
            </w:pPr>
          </w:p>
        </w:tc>
        <w:tc>
          <w:tcPr>
            <w:tcW w:w="120" w:type="dxa"/>
            <w:vAlign w:val="bottom"/>
            <w:tcBorders>
              <w:top w:val="single" w:sz="8" w:color="0000E1"/>
            </w:tcBorders>
          </w:tcPr>
          <w:p>
            <w:pPr>
              <w:spacing w:after="0"/>
              <w:rPr>
                <w:sz w:val="24"/>
                <w:szCs w:val="24"/>
                <w:color w:val="auto"/>
              </w:rPr>
            </w:pPr>
          </w:p>
        </w:tc>
        <w:tc>
          <w:tcPr>
            <w:tcW w:w="100" w:type="dxa"/>
            <w:vAlign w:val="bottom"/>
            <w:tcBorders>
              <w:top w:val="single" w:sz="8" w:color="0000E1"/>
            </w:tcBorders>
          </w:tcPr>
          <w:p>
            <w:pPr>
              <w:spacing w:after="0"/>
              <w:rPr>
                <w:sz w:val="24"/>
                <w:szCs w:val="24"/>
                <w:color w:val="auto"/>
              </w:rPr>
            </w:pPr>
          </w:p>
        </w:tc>
        <w:tc>
          <w:tcPr>
            <w:tcW w:w="300" w:type="dxa"/>
            <w:vAlign w:val="bottom"/>
            <w:tcBorders>
              <w:top w:val="single" w:sz="8" w:color="0000E1"/>
            </w:tcBorders>
          </w:tcPr>
          <w:p>
            <w:pPr>
              <w:spacing w:after="0"/>
              <w:rPr>
                <w:sz w:val="24"/>
                <w:szCs w:val="24"/>
                <w:color w:val="auto"/>
              </w:rPr>
            </w:pPr>
          </w:p>
        </w:tc>
        <w:tc>
          <w:tcPr>
            <w:tcW w:w="240" w:type="dxa"/>
            <w:vAlign w:val="bottom"/>
            <w:tcBorders>
              <w:top w:val="single" w:sz="8" w:color="0000E1"/>
            </w:tcBorders>
          </w:tcPr>
          <w:p>
            <w:pPr>
              <w:spacing w:after="0"/>
              <w:rPr>
                <w:sz w:val="24"/>
                <w:szCs w:val="24"/>
                <w:color w:val="auto"/>
              </w:rPr>
            </w:pPr>
          </w:p>
        </w:tc>
        <w:tc>
          <w:tcPr>
            <w:tcW w:w="220" w:type="dxa"/>
            <w:vAlign w:val="bottom"/>
            <w:tcBorders>
              <w:top w:val="single" w:sz="8" w:color="0000E1"/>
            </w:tcBorders>
          </w:tcPr>
          <w:p>
            <w:pPr>
              <w:spacing w:after="0"/>
              <w:rPr>
                <w:sz w:val="24"/>
                <w:szCs w:val="24"/>
                <w:color w:val="auto"/>
              </w:rPr>
            </w:pPr>
          </w:p>
        </w:tc>
        <w:tc>
          <w:tcPr>
            <w:tcW w:w="40" w:type="dxa"/>
            <w:vAlign w:val="bottom"/>
            <w:tcBorders>
              <w:top w:val="single" w:sz="8" w:color="0000E1"/>
            </w:tcBorders>
          </w:tcPr>
          <w:p>
            <w:pPr>
              <w:spacing w:after="0"/>
              <w:rPr>
                <w:sz w:val="24"/>
                <w:szCs w:val="24"/>
                <w:color w:val="auto"/>
              </w:rPr>
            </w:pPr>
          </w:p>
        </w:tc>
        <w:tc>
          <w:tcPr>
            <w:tcW w:w="240" w:type="dxa"/>
            <w:vAlign w:val="bottom"/>
            <w:tcBorders>
              <w:top w:val="single" w:sz="8" w:color="0000E1"/>
            </w:tcBorders>
          </w:tcPr>
          <w:p>
            <w:pPr>
              <w:spacing w:after="0"/>
              <w:rPr>
                <w:sz w:val="24"/>
                <w:szCs w:val="24"/>
                <w:color w:val="auto"/>
              </w:rPr>
            </w:pPr>
          </w:p>
        </w:tc>
        <w:tc>
          <w:tcPr>
            <w:tcW w:w="820" w:type="dxa"/>
            <w:vAlign w:val="bottom"/>
            <w:tcBorders>
              <w:top w:val="single" w:sz="8" w:color="0000E1"/>
            </w:tcBorders>
          </w:tcPr>
          <w:p>
            <w:pPr>
              <w:spacing w:after="0"/>
              <w:rPr>
                <w:sz w:val="24"/>
                <w:szCs w:val="24"/>
                <w:color w:val="auto"/>
              </w:rPr>
            </w:pPr>
          </w:p>
        </w:tc>
        <w:tc>
          <w:tcPr>
            <w:tcW w:w="20" w:type="dxa"/>
            <w:vAlign w:val="bottom"/>
            <w:tcBorders>
              <w:top w:val="single" w:sz="8" w:color="0000E1"/>
            </w:tcBorders>
          </w:tcPr>
          <w:p>
            <w:pPr>
              <w:spacing w:after="0"/>
              <w:rPr>
                <w:sz w:val="24"/>
                <w:szCs w:val="24"/>
                <w:color w:val="auto"/>
              </w:rPr>
            </w:pPr>
          </w:p>
        </w:tc>
        <w:tc>
          <w:tcPr>
            <w:tcW w:w="440" w:type="dxa"/>
            <w:vAlign w:val="bottom"/>
            <w:tcBorders>
              <w:top w:val="single" w:sz="8" w:color="0000E1"/>
            </w:tcBorders>
          </w:tcPr>
          <w:p>
            <w:pPr>
              <w:spacing w:after="0"/>
              <w:rPr>
                <w:sz w:val="24"/>
                <w:szCs w:val="24"/>
                <w:color w:val="auto"/>
              </w:rPr>
            </w:pPr>
          </w:p>
        </w:tc>
        <w:tc>
          <w:tcPr>
            <w:tcW w:w="80" w:type="dxa"/>
            <w:vAlign w:val="bottom"/>
            <w:tcBorders>
              <w:top w:val="single" w:sz="8" w:color="0000E1"/>
            </w:tcBorders>
          </w:tcPr>
          <w:p>
            <w:pPr>
              <w:spacing w:after="0"/>
              <w:rPr>
                <w:sz w:val="24"/>
                <w:szCs w:val="24"/>
                <w:color w:val="auto"/>
              </w:rPr>
            </w:pPr>
          </w:p>
        </w:tc>
        <w:tc>
          <w:tcPr>
            <w:tcW w:w="680" w:type="dxa"/>
            <w:vAlign w:val="bottom"/>
            <w:tcBorders>
              <w:top w:val="single" w:sz="8" w:color="0000E1"/>
            </w:tcBorders>
          </w:tcPr>
          <w:p>
            <w:pPr>
              <w:spacing w:after="0"/>
              <w:rPr>
                <w:sz w:val="24"/>
                <w:szCs w:val="24"/>
                <w:color w:val="auto"/>
              </w:rPr>
            </w:pPr>
          </w:p>
        </w:tc>
        <w:tc>
          <w:tcPr>
            <w:tcW w:w="260" w:type="dxa"/>
            <w:vAlign w:val="bottom"/>
            <w:tcBorders>
              <w:top w:val="single" w:sz="8" w:color="0000E1"/>
            </w:tcBorders>
          </w:tcPr>
          <w:p>
            <w:pPr>
              <w:spacing w:after="0"/>
              <w:rPr>
                <w:sz w:val="24"/>
                <w:szCs w:val="24"/>
                <w:color w:val="auto"/>
              </w:rPr>
            </w:pPr>
          </w:p>
        </w:tc>
        <w:tc>
          <w:tcPr>
            <w:tcW w:w="540" w:type="dxa"/>
            <w:vAlign w:val="bottom"/>
            <w:tcBorders>
              <w:top w:val="single" w:sz="8" w:color="0000E1"/>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1"/>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1"/>
              <w:bottom w:val="single" w:sz="8" w:color="0000E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1"/>
                <w:w w:val="99"/>
              </w:rPr>
              <w:t>Executive Compensation</w:t>
            </w:r>
          </w:p>
        </w:tc>
        <w:tc>
          <w:tcPr>
            <w:tcW w:w="2280" w:type="dxa"/>
            <w:vAlign w:val="bottom"/>
            <w:tcBorders>
              <w:top w:val="single" w:sz="8" w:color="0000E1"/>
            </w:tcBorders>
            <w:gridSpan w:val="6"/>
          </w:tcPr>
          <w:p>
            <w:pPr>
              <w:spacing w:after="0"/>
              <w:rPr>
                <w:sz w:val="17"/>
                <w:szCs w:val="17"/>
                <w:color w:val="auto"/>
              </w:rPr>
            </w:pPr>
          </w:p>
        </w:tc>
        <w:tc>
          <w:tcPr>
            <w:tcW w:w="52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1"/>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1"/>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1"/>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E1"/>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1"/>
              </w:rPr>
              <w:t>Principal Accounting Fees and Services</w:t>
            </w:r>
          </w:p>
        </w:tc>
        <w:tc>
          <w:tcPr>
            <w:tcW w:w="38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1"/>
            </w:tcBorders>
          </w:tcPr>
          <w:p>
            <w:pPr>
              <w:spacing w:after="0"/>
              <w:rPr>
                <w:sz w:val="24"/>
                <w:szCs w:val="24"/>
                <w:color w:val="auto"/>
              </w:rPr>
            </w:pPr>
          </w:p>
        </w:tc>
        <w:tc>
          <w:tcPr>
            <w:tcW w:w="100" w:type="dxa"/>
            <w:vAlign w:val="bottom"/>
            <w:tcBorders>
              <w:top w:val="single" w:sz="8" w:color="0000E1"/>
            </w:tcBorders>
          </w:tcPr>
          <w:p>
            <w:pPr>
              <w:spacing w:after="0"/>
              <w:rPr>
                <w:sz w:val="24"/>
                <w:szCs w:val="24"/>
                <w:color w:val="auto"/>
              </w:rPr>
            </w:pPr>
          </w:p>
        </w:tc>
        <w:tc>
          <w:tcPr>
            <w:tcW w:w="20" w:type="dxa"/>
            <w:vAlign w:val="bottom"/>
            <w:tcBorders>
              <w:top w:val="single" w:sz="8" w:color="0000E1"/>
            </w:tcBorders>
          </w:tcPr>
          <w:p>
            <w:pPr>
              <w:spacing w:after="0"/>
              <w:rPr>
                <w:sz w:val="24"/>
                <w:szCs w:val="24"/>
                <w:color w:val="auto"/>
              </w:rPr>
            </w:pPr>
          </w:p>
        </w:tc>
        <w:tc>
          <w:tcPr>
            <w:tcW w:w="40" w:type="dxa"/>
            <w:vAlign w:val="bottom"/>
            <w:tcBorders>
              <w:top w:val="single" w:sz="8" w:color="0000E1"/>
            </w:tcBorders>
          </w:tcPr>
          <w:p>
            <w:pPr>
              <w:spacing w:after="0"/>
              <w:rPr>
                <w:sz w:val="24"/>
                <w:szCs w:val="24"/>
                <w:color w:val="auto"/>
              </w:rPr>
            </w:pPr>
          </w:p>
        </w:tc>
        <w:tc>
          <w:tcPr>
            <w:tcW w:w="120" w:type="dxa"/>
            <w:vAlign w:val="bottom"/>
            <w:tcBorders>
              <w:top w:val="single" w:sz="8" w:color="0000E1"/>
            </w:tcBorders>
          </w:tcPr>
          <w:p>
            <w:pPr>
              <w:spacing w:after="0"/>
              <w:rPr>
                <w:sz w:val="24"/>
                <w:szCs w:val="24"/>
                <w:color w:val="auto"/>
              </w:rPr>
            </w:pPr>
          </w:p>
        </w:tc>
        <w:tc>
          <w:tcPr>
            <w:tcW w:w="100" w:type="dxa"/>
            <w:vAlign w:val="bottom"/>
            <w:tcBorders>
              <w:top w:val="single" w:sz="8" w:color="0000E1"/>
            </w:tcBorders>
          </w:tcPr>
          <w:p>
            <w:pPr>
              <w:spacing w:after="0"/>
              <w:rPr>
                <w:sz w:val="24"/>
                <w:szCs w:val="24"/>
                <w:color w:val="auto"/>
              </w:rPr>
            </w:pPr>
          </w:p>
        </w:tc>
        <w:tc>
          <w:tcPr>
            <w:tcW w:w="300" w:type="dxa"/>
            <w:vAlign w:val="bottom"/>
            <w:tcBorders>
              <w:top w:val="single" w:sz="8" w:color="0000E1"/>
            </w:tcBorders>
          </w:tcPr>
          <w:p>
            <w:pPr>
              <w:spacing w:after="0"/>
              <w:rPr>
                <w:sz w:val="24"/>
                <w:szCs w:val="24"/>
                <w:color w:val="auto"/>
              </w:rPr>
            </w:pPr>
          </w:p>
        </w:tc>
        <w:tc>
          <w:tcPr>
            <w:tcW w:w="240" w:type="dxa"/>
            <w:vAlign w:val="bottom"/>
            <w:tcBorders>
              <w:top w:val="single" w:sz="8" w:color="0000E1"/>
            </w:tcBorders>
          </w:tcPr>
          <w:p>
            <w:pPr>
              <w:spacing w:after="0"/>
              <w:rPr>
                <w:sz w:val="24"/>
                <w:szCs w:val="24"/>
                <w:color w:val="auto"/>
              </w:rPr>
            </w:pPr>
          </w:p>
        </w:tc>
        <w:tc>
          <w:tcPr>
            <w:tcW w:w="220" w:type="dxa"/>
            <w:vAlign w:val="bottom"/>
            <w:tcBorders>
              <w:top w:val="single" w:sz="8" w:color="0000E1"/>
            </w:tcBorders>
          </w:tcPr>
          <w:p>
            <w:pPr>
              <w:spacing w:after="0"/>
              <w:rPr>
                <w:sz w:val="24"/>
                <w:szCs w:val="24"/>
                <w:color w:val="auto"/>
              </w:rPr>
            </w:pPr>
          </w:p>
        </w:tc>
        <w:tc>
          <w:tcPr>
            <w:tcW w:w="40" w:type="dxa"/>
            <w:vAlign w:val="bottom"/>
            <w:tcBorders>
              <w:top w:val="single" w:sz="8" w:color="0000E1"/>
            </w:tcBorders>
          </w:tcPr>
          <w:p>
            <w:pPr>
              <w:spacing w:after="0"/>
              <w:rPr>
                <w:sz w:val="24"/>
                <w:szCs w:val="24"/>
                <w:color w:val="auto"/>
              </w:rPr>
            </w:pPr>
          </w:p>
        </w:tc>
        <w:tc>
          <w:tcPr>
            <w:tcW w:w="240" w:type="dxa"/>
            <w:vAlign w:val="bottom"/>
            <w:tcBorders>
              <w:top w:val="single" w:sz="8" w:color="0000E1"/>
            </w:tcBorders>
          </w:tcPr>
          <w:p>
            <w:pPr>
              <w:spacing w:after="0"/>
              <w:rPr>
                <w:sz w:val="24"/>
                <w:szCs w:val="24"/>
                <w:color w:val="auto"/>
              </w:rPr>
            </w:pPr>
          </w:p>
        </w:tc>
        <w:tc>
          <w:tcPr>
            <w:tcW w:w="820" w:type="dxa"/>
            <w:vAlign w:val="bottom"/>
            <w:tcBorders>
              <w:top w:val="single" w:sz="8" w:color="0000E1"/>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1"/>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1"/>
              <w:bottom w:val="single" w:sz="8" w:color="0000E1"/>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1"/>
                <w:w w:val="99"/>
              </w:rPr>
              <w:t>Form 10-K Summary</w:t>
            </w:r>
          </w:p>
        </w:tc>
        <w:tc>
          <w:tcPr>
            <w:tcW w:w="1340" w:type="dxa"/>
            <w:vAlign w:val="bottom"/>
            <w:tcBorders>
              <w:top w:val="single" w:sz="8" w:color="0000E1"/>
            </w:tcBorders>
            <w:gridSpan w:val="5"/>
          </w:tcPr>
          <w:p>
            <w:pPr>
              <w:spacing w:after="0"/>
              <w:rPr>
                <w:sz w:val="17"/>
                <w:szCs w:val="17"/>
                <w:color w:val="auto"/>
              </w:rPr>
            </w:pPr>
          </w:p>
        </w:tc>
        <w:tc>
          <w:tcPr>
            <w:tcW w:w="640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1"/>
              </w:rPr>
              <w:t>Signatures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3"/>
            <w:shd w:val="clear" w:color="auto" w:fill="0000E1"/>
          </w:tcPr>
          <w:p>
            <w:pPr>
              <w:spacing w:after="0" w:line="20" w:lineRule="exact"/>
              <w:rPr>
                <w:sz w:val="1"/>
                <w:szCs w:val="1"/>
                <w:color w:val="auto"/>
              </w:rPr>
            </w:pPr>
          </w:p>
        </w:tc>
        <w:tc>
          <w:tcPr>
            <w:tcW w:w="2660" w:type="dxa"/>
            <w:vAlign w:val="bottom"/>
            <w:gridSpan w:val="12"/>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20" w:type="dxa"/>
            <w:vAlign w:val="bottom"/>
            <w:tcBorders>
              <w:bottom w:val="single" w:sz="8" w:color="0000E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1"/>
                <w:w w:val="99"/>
              </w:rPr>
              <w:t>Index to the Consolidated Financial Statements</w:t>
            </w:r>
          </w:p>
        </w:tc>
        <w:tc>
          <w:tcPr>
            <w:tcW w:w="588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Forward-looking statements are neither historical facts nor assurances of future performance. Instead, they are based on our current beliefs, expectations and assumptions regarding the future of our business,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de novo centers and acquire new centers; our growth rates and financial results; our plans and objectives for future operations, growth or initiatives and strategies; and our expected market opportunity are forward-looking statements.</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in Part I, Item 1A, “Risk Factors” and elsewhere in this Annual Report on Form 10-K.</w:t>
      </w:r>
    </w:p>
    <w:p>
      <w:pPr>
        <w:spacing w:after="0" w:line="79"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represent our views as of the date of this report. We undertake no obligation to publicly update any forward-looking statements whether as a result of new information, future developments or otherwise, except as required by law.</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Channels of Disclosure of Information</w:t>
      </w:r>
    </w:p>
    <w:p>
      <w:pPr>
        <w:spacing w:after="0" w:line="121"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7"/>
          <w:szCs w:val="17"/>
          <w:color w:val="auto"/>
        </w:rPr>
        <w:t>We announce material information to the public through filings with the SEC, the investor relations page on our website, www.lifestance.com, press releases, public conference calls and public webcasts.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risks. You should consider carefully the following risks, which are discussed more fully in "Item 1A. Risk Factors", and all of the other information contained in this Annual Report on Form 10-K before investing in our common stock. These risks include, but are not limited to, the following:</w:t>
      </w:r>
    </w:p>
    <w:p>
      <w:pPr>
        <w:spacing w:after="0" w:line="68"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reimbursement rates paid by third-party payors are reduced or if third-party payors otherwise restrain our ability to obtain or deliver care to patients, our business could be materially harmed;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grow at the rates we historically have achieved or at all, even if our key metrics may imply future growth, including if we are unable to successfully execute on our growth initiatives and business strategies;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expenses could increase more than expected, our revenue may not increase proportionally or at all, and we may be unable to execute on our business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new clinicians and retain existing clinicians;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supported practices, which we do not own, to provide healthcare services, and our business would be harmed if those relationships were disrupted or if our arrangements with these entities became subject to legal challenges;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and if we are not able to compete effectively, our business and financial performance would be harmed;</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us of healthcare reform legislation and other changes in the healthcare industry and in healthcare spending is currently unknown, but may harm our business;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effectively invest in, implement improvements to and properly maintain the uninterrupted operation and data integrity of our information technology and other business systems;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could adversely affect our business and growth prospects.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Unless stated otherwise or the context otherwise requires, the terms "we," "us," "our," "our business," "LifeStance" and "our Company" and similar references refer to LifeStance Health Group, Inc. and its consolidated subsidiaries and supported practices. References to "our employees" and "our clinicians" refer collectively to employees and clinicians, respectively, of our subsidiaries and supported practices. References to "our patients" refer to the patients treated by such clinicians.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vision is a truly healthy society where mental and physical healthcare are unified to make lives better. Our mission is to help people lead healthier, more fulfilling lives by improving access to trusted, affordable and personalized mental healthcare. To fulfill this mission, we have built one of the nation’s largest outpatient mental health platforms based on number of clinicians and geographic scale.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dedicated to improving the lives of our patients by reimagining mental health through a tech-enabled in-person and virtual care delivery model built to expand access and affordability, improve outcomes and lower overall healthcare costs. We combine a personalized, digitally powered patient experience with differentiated, multidisciplinary clinical capabilities and in-network insurance relationships to fundamentally transform patient access to mental health treatment. By revolutionizing the way mental healthcare is delivered, we believe we have an opportunity to improve the lives and health of millions of individuals.</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employed 7,424 licensed mental health clinicians through our subsidiaries and supported practices in 33 states as of December 31, 2024. Our clinicians offer patients a comprehensive, multidisciplinary suite of mental health services, spanning psychiatric evaluations and treatment, psychological and neuropsychological testing, and individual, family and group therapy. We treat a broad range of mental health conditions, including anxiety, depression, bipolar disorder, eating disorders, psychotic disorders and post-traumatic stress disorder. Patients can receive care virtually through our online delivery platform or in-person at one of our conveniently located centers. Through our payor relationships, including national agreements with multiple payors, patients can utilize their in-network benefits when they receive care from one of our clinicians, enhancing access and affordability.</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Mental illness is a large and growing crisis that creates a significant burden on the healthcare ecosystem. One in five U.S. adults and youths will experience mental illness each year. This disease burden has a broader impact across all of healthcare—healthcare costs for individuals with mental health conditions, including depression, have been shown to be approximately three and a half times higher than for people without those conditions.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However, there are significant barriers to addressing this crisis:</w:t>
      </w:r>
    </w:p>
    <w:p>
      <w:pPr>
        <w:spacing w:after="0" w:line="115" w:lineRule="exact"/>
        <w:rPr>
          <w:sz w:val="20"/>
          <w:szCs w:val="20"/>
          <w:color w:val="auto"/>
        </w:rPr>
      </w:pPr>
    </w:p>
    <w:p>
      <w:pPr>
        <w:ind w:left="1140" w:right="120" w:hanging="369"/>
        <w:spacing w:after="0" w:line="25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Lack of Access: </w:t>
      </w:r>
      <w:r>
        <w:rPr>
          <w:rFonts w:ascii="Times New Roman" w:cs="Times New Roman" w:eastAsia="Times New Roman" w:hAnsi="Times New Roman"/>
          <w:sz w:val="18"/>
          <w:szCs w:val="18"/>
          <w:color w:val="auto"/>
        </w:rPr>
        <w:t>Despite the large burden of mental illness in the U.S., access to mental health treatment is plagued by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challenges. Of patients with serious mental illness not receiving care in the past year, 29% reported that they did not know where to go for services, suggesting issues related to access. Even if patients are able to access a mental health professional, studies show they often face significant wait times. During this time, their underlying physical and mental health issues may worsen, potentially requiring treatment in costlier care settings like hospitals, emergency rooms and inpatient mental facilities.</w:t>
      </w:r>
    </w:p>
    <w:p>
      <w:pPr>
        <w:spacing w:after="0" w:line="75" w:lineRule="exact"/>
        <w:rPr>
          <w:rFonts w:ascii="Times New Roman" w:cs="Times New Roman" w:eastAsia="Times New Roman" w:hAnsi="Times New Roman"/>
          <w:sz w:val="18"/>
          <w:szCs w:val="18"/>
          <w:color w:val="auto"/>
        </w:rPr>
      </w:pPr>
    </w:p>
    <w:p>
      <w:pPr>
        <w:jc w:val="both"/>
        <w:ind w:left="1140" w:right="100" w:hanging="369"/>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Lack of Affordability</w:t>
      </w:r>
      <w:r>
        <w:rPr>
          <w:rFonts w:ascii="Times New Roman" w:cs="Times New Roman" w:eastAsia="Times New Roman" w:hAnsi="Times New Roman"/>
          <w:sz w:val="18"/>
          <w:szCs w:val="18"/>
          <w:color w:val="auto"/>
        </w:rPr>
        <w:t>: The mental healthcare market remains under-reimbursed by commercial and government insurers, resulting in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clinicians only accepting cash pay for mental health services. The need to pay cash out-of-pocket for treatment reduces the likelihood that patients will receive treatment. Of patients with serious mental illness not receiving care in the past year, 46% reported that they could not afford the cost of treatment, and an additional 19% reported that their health insurance did not pay enough for mental health services.</w:t>
      </w:r>
    </w:p>
    <w:p>
      <w:pPr>
        <w:spacing w:after="0" w:line="71" w:lineRule="exact"/>
        <w:rPr>
          <w:rFonts w:ascii="Times New Roman" w:cs="Times New Roman" w:eastAsia="Times New Roman" w:hAnsi="Times New Roman"/>
          <w:sz w:val="18"/>
          <w:szCs w:val="18"/>
          <w:color w:val="auto"/>
        </w:rPr>
      </w:pPr>
    </w:p>
    <w:p>
      <w:pPr>
        <w:ind w:left="1140" w:right="140" w:hanging="369"/>
        <w:spacing w:after="0" w:line="257"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Lack of Scale and Organization: </w:t>
      </w:r>
      <w:r>
        <w:rPr>
          <w:rFonts w:ascii="Times New Roman" w:cs="Times New Roman" w:eastAsia="Times New Roman" w:hAnsi="Times New Roman"/>
          <w:sz w:val="18"/>
          <w:szCs w:val="18"/>
          <w:color w:val="auto"/>
        </w:rPr>
        <w:t>Outpatient mental health is highly fragmented. We believe that independent clinicians are burdened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non-clinical business demands, including marketing, payor contracting, billing and collecting, and other administrative tasks, impeding their ability to focus on their patients’ care. A corresponding lack of resources to invest in infrastructure and technology exacerbates these burdens, even as growing regulatory and compliance requirements increase the need for them. This lack of technology further constrains access—for example, through limited or no virtual capabilities—while impeding the ability to effectively track patient data and outcomes as needed to ensure care is being delivered effectively.</w:t>
      </w:r>
    </w:p>
    <w:p>
      <w:pPr>
        <w:spacing w:after="0" w:line="74" w:lineRule="exact"/>
        <w:rPr>
          <w:rFonts w:ascii="Times New Roman" w:cs="Times New Roman" w:eastAsia="Times New Roman" w:hAnsi="Times New Roman"/>
          <w:sz w:val="18"/>
          <w:szCs w:val="18"/>
          <w:color w:val="auto"/>
        </w:rPr>
      </w:pPr>
    </w:p>
    <w:p>
      <w:pPr>
        <w:ind w:left="1140" w:right="40" w:hanging="369"/>
        <w:spacing w:after="0" w:line="267"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Lack of Care Coordination: </w:t>
      </w:r>
      <w:r>
        <w:rPr>
          <w:rFonts w:ascii="Times New Roman" w:cs="Times New Roman" w:eastAsia="Times New Roman" w:hAnsi="Times New Roman"/>
          <w:sz w:val="18"/>
          <w:szCs w:val="18"/>
          <w:color w:val="auto"/>
        </w:rPr>
        <w:t>Many primary care physicians and specialists are not well-equipped to identify and treat patients with 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conditions, resulting in patients receiving treatments only once their condition has been exacerbated or not receiving treatment at all. This limited access to treatment has a significant social and economic impact.</w:t>
      </w:r>
    </w:p>
    <w:p>
      <w:pPr>
        <w:spacing w:after="0" w:line="6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We founded LifeStance to solve these challenges. More broadly, we recognized that addressing this unmet need would require a transformation of how mental healthcare is built and delivered. We developed powerful incentives for each of our stakeholders—patients, clinicians, payors and primary care and specialist physicians—to align with our mission, adopt our platform and drive our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p>
      <w:pPr>
        <w:ind w:right="1220"/>
        <w:spacing w:after="0" w:line="375" w:lineRule="auto"/>
        <w:rPr>
          <w:sz w:val="20"/>
          <w:szCs w:val="20"/>
          <w:color w:val="auto"/>
        </w:rPr>
      </w:pPr>
      <w:r>
        <w:rPr>
          <w:rFonts w:ascii="Times New Roman" w:cs="Times New Roman" w:eastAsia="Times New Roman" w:hAnsi="Times New Roman"/>
          <w:sz w:val="18"/>
          <w:szCs w:val="18"/>
          <w:color w:val="auto"/>
        </w:rPr>
        <w:t xml:space="preserve">growth. We estimate that there are nearly 60 million adults in the United States with a mental health issue that our clinicians could address. </w:t>
      </w:r>
      <w:r>
        <w:rPr>
          <w:rFonts w:ascii="Times New Roman" w:cs="Times New Roman" w:eastAsia="Times New Roman" w:hAnsi="Times New Roman"/>
          <w:sz w:val="18"/>
          <w:szCs w:val="18"/>
          <w:b w:val="1"/>
          <w:bCs w:val="1"/>
          <w:i w:val="1"/>
          <w:iCs w:val="1"/>
          <w:color w:val="auto"/>
        </w:rPr>
        <w:t>We Provide Patients Access to Convenient, Affordable, High-Quality Care</w:t>
      </w:r>
    </w:p>
    <w:p>
      <w:pPr>
        <w:spacing w:after="0" w:line="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the front-door to comprehensive outpatient mental healthcare. Our clinicians offer patients a full spectrum of outpatient services to treat mental health conditions. Our in-network payor relationships improve patient access by allowing patients to access mental healthcare just as they would a primary care physician's visit without significant out-of-pocket cost or delays in receiving treatment. Our personalized, data-driven comprehensive care meets patients where they are through convenient virtual and in-person settings. We support our patients throughout their care continuum with purpose-built technological capabilities, including online assessments, digital provider communication, and seamless internal referral and follow-up capabilities.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Empower Clinicians to Improve the Lives of Their Patients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empower clinicians to focus on patient care and relationships by providing what we believe is a superior workplace environment, as well as clinical and technological capabilities to deliver high-quality care. We offer a unique employment model for clinicians in a collaborative clinical environment—with clinicians employed by our subsidiaries and supported practices—and we improve patient access through in-network payor contracts and primary care and specialist physician referrals. Our integrated platform and national infrastructure reduce administrative burdens for clinicians while increasing engagement and satisfaction. Our digital platform enables collaboration across the clinician team.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Reduce Costs for Payors and Their Members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partner with payors to deliver access to high-quality outpatient mental healthcare to their members at scale. Through our extensive scale, we offer payors a pathway to reduce overall cost of care in the broader healthcare system while supporting improved physical and mental health outcomes. By offering access to our services, payors also have an opportunity to reduce their employer customers’ significant mental health costs arising from higher employee absenteeism and lower productivity.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Enable Primary Care and Specialist Physicians to Deliver Superior Care</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collaborate with primary care and specialist physicians to enhance patient care. Primary care is an important setting for the treatment of mental health conditions—primary care physicians are often the sole connection to the healthcare system for patients with a mental illness and, in instances where patients have a chronic condition, specialist physicians often step into the role of primary care physicians in managing these patients' overall health. We partner with primary care physicians and specialist physician groups across the country to provide a mental healthcare network for referrals, and in certain instances, through virtual integration and physical co-location, to improve the diagnosis and treatment of their patients who suffer from mental health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Opportunity to Transform Healthcare as a Whole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truly transform healthcare, the integration of mental and physical care is increasingly recognized as a critical priority. It is estimated that over one-third of all patients with chronic medical conditions have a co-occurring mental health disorder. Our scale, breadth of capabilities and value proposition to our key stakeholders enable us to drive this transformation. We have over 13 integrated care programs underway, including partnerships with primary care providers, specialists and chronic care providers as we lead efforts to demonstrate the ability of fully-integrated mental health models to improve overall health outcomes. In certain instances, we co-locate our clinicians at partners' facilities to promote seamless mental health treatment and enable collaborative delivery of care. We envision a future where the coordination and delivery of mental and physical care is accomplished collaboratively between primary care and mental health providers, and we are actively working to lead the mental health industry in this direction.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Generate Revenue</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generate revenue on a per-visit basis when a patient receives care from one of our clinicians. Depending on the state, our clinicians are either employed directly through our subsidiaries or through our supported practices, for which we manage day-to-day operations pursuant to long-term management services contracts. Our revenue is generally derived from patients with in-network insurance coverage, pursuant to which our subsidiaries or supported practices are reimbursed for patient services. For the year ended December 31, 2024, 91% of our revenue was derived from patients with commercial in-network payors, 5% of our revenue was derived from patients with government payors, 3% of our revenue was derived from patients on a self-pay basis and 1% of our revenue was derived from non-patient services. Our contracts with payors are typically structured as fee-for-service arrangements, with negotiated reimbursement rates for our clinical services. With respect to our supported practices, our revenue is derived from management fees negotiated under our management services contracts. We believe we are well-positioned to grow our revenue by catering to each of our stakeholders and remaining focused on our patient-centered mission.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Deliver Value for All Key Stakeholders in the Healthcare Ecosystem</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model is built to empower each of the healthcare ecosystem’s key stakeholders and align around our shared goal of delivering a healthier life for patients by creating access to high-quality mental healthcare.</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Our Patients Gain Access to High-Quality Care When and Where They Need It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clinicians treated more than 940,000 unique patients through approximately 7.9 million visits in 2024. We aim to deliver value to our patients in multiple ways:</w:t>
      </w:r>
    </w:p>
    <w:p>
      <w:pPr>
        <w:spacing w:after="0" w:line="52" w:lineRule="exact"/>
        <w:rPr>
          <w:sz w:val="20"/>
          <w:szCs w:val="20"/>
          <w:color w:val="auto"/>
        </w:rPr>
      </w:pPr>
    </w:p>
    <w:p>
      <w:pPr>
        <w:ind w:left="1140" w:right="80" w:hanging="369"/>
        <w:spacing w:after="0" w:line="256"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Superior patient experience: </w:t>
      </w:r>
      <w:r>
        <w:rPr>
          <w:rFonts w:ascii="Times New Roman" w:cs="Times New Roman" w:eastAsia="Times New Roman" w:hAnsi="Times New Roman"/>
          <w:sz w:val="18"/>
          <w:szCs w:val="18"/>
          <w:color w:val="auto"/>
        </w:rPr>
        <w:t>We have a relentless focus on delivering a superior experience to our patients. We enable our patients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conveniently see their clinician through their preferred choice of virtual or in-person visits. We optimize patient engagement through our convenient digital tools, including online scheduling, adherence reminders, online prescription refills and online payments. We believe our centers are built to a superior standard that provides our patients with a best-in class visit experience. Enabling our patients and elevating their experience makes them more likely to seek help, resulting in higher engagement and an increased likelihood they will continue treatment. We believe our superior patient experience drives increased patient engagement—in 2024, 86% of our patients have had two or more visits with our clinicians.</w:t>
      </w:r>
    </w:p>
    <w:p>
      <w:pPr>
        <w:spacing w:after="0" w:line="74" w:lineRule="exact"/>
        <w:rPr>
          <w:rFonts w:ascii="Times New Roman" w:cs="Times New Roman" w:eastAsia="Times New Roman" w:hAnsi="Times New Roman"/>
          <w:sz w:val="18"/>
          <w:szCs w:val="18"/>
          <w:color w:val="auto"/>
        </w:rPr>
      </w:pPr>
    </w:p>
    <w:p>
      <w:pPr>
        <w:ind w:left="1140" w:right="280" w:hanging="369"/>
        <w:spacing w:after="0" w:line="258"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Front door to comprehensive mental healthcare: </w:t>
      </w:r>
      <w:r>
        <w:rPr>
          <w:rFonts w:ascii="Times New Roman" w:cs="Times New Roman" w:eastAsia="Times New Roman" w:hAnsi="Times New Roman"/>
          <w:sz w:val="18"/>
          <w:szCs w:val="18"/>
          <w:color w:val="auto"/>
        </w:rPr>
        <w:t>We offer comprehensive, multidisciplinary access to a suite of services to meet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needs through their mental healthcare journey. Our patients have access to our comprehensive team of licensed mental health clinicians, including psychiatrists, advanced practice nurses ("APNs"), psychologists and therapists. We use a data-driven digital onboarding process to match patients with clinicians based on their needs and collaborate to develop medically-driven care plans. We believe our breadth of clinical capabilities enables superior coordination among disciplines to deliver our patients the best possible care.</w:t>
      </w:r>
    </w:p>
    <w:p>
      <w:pPr>
        <w:spacing w:after="0" w:line="75" w:lineRule="exact"/>
        <w:rPr>
          <w:rFonts w:ascii="Times New Roman" w:cs="Times New Roman" w:eastAsia="Times New Roman" w:hAnsi="Times New Roman"/>
          <w:sz w:val="18"/>
          <w:szCs w:val="18"/>
          <w:color w:val="auto"/>
        </w:rPr>
      </w:pPr>
    </w:p>
    <w:p>
      <w:pPr>
        <w:ind w:left="1140" w:right="40" w:hanging="369"/>
        <w:spacing w:after="0" w:line="267"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access and affordability through in-network coverage: </w:t>
      </w:r>
      <w:r>
        <w:rPr>
          <w:rFonts w:ascii="Times New Roman" w:cs="Times New Roman" w:eastAsia="Times New Roman" w:hAnsi="Times New Roman"/>
          <w:sz w:val="18"/>
          <w:szCs w:val="18"/>
          <w:color w:val="auto"/>
        </w:rPr>
        <w:t>We have national and regional payor relationships, which improve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affordability for our patients. Our in-network patients can seek initial mental health screening, clinical treatment and subsequent therapy or follow-up as needed in a timely and affordable manner appropriate for their needs.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Clinicians Are Empowered to Focus on Improving the Lives of Their Patients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deliver value to our clinicians through our clinician value proposition, which includes:</w:t>
      </w:r>
    </w:p>
    <w:p>
      <w:pPr>
        <w:spacing w:after="0" w:line="115" w:lineRule="exact"/>
        <w:rPr>
          <w:sz w:val="20"/>
          <w:szCs w:val="20"/>
          <w:color w:val="auto"/>
        </w:rPr>
      </w:pPr>
    </w:p>
    <w:p>
      <w:pPr>
        <w:ind w:left="1140" w:right="40" w:hanging="369"/>
        <w:spacing w:after="0" w:line="26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Mission-driven culture: </w:t>
      </w:r>
      <w:r>
        <w:rPr>
          <w:rFonts w:ascii="Times New Roman" w:cs="Times New Roman" w:eastAsia="Times New Roman" w:hAnsi="Times New Roman"/>
          <w:sz w:val="18"/>
          <w:szCs w:val="18"/>
          <w:color w:val="auto"/>
        </w:rPr>
        <w:t>Our platform enables our clinicians to focus on delivering the best possible care to their patients. We augment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serve their patients through technology tools and data, while freeing them from the many non-clinical burdens they face in independent practice, so that they can dedicate their time and energy to providing high-quality care to their patients.</w:t>
      </w:r>
    </w:p>
    <w:p>
      <w:pPr>
        <w:spacing w:after="0" w:line="65" w:lineRule="exact"/>
        <w:rPr>
          <w:rFonts w:ascii="Times New Roman" w:cs="Times New Roman" w:eastAsia="Times New Roman" w:hAnsi="Times New Roman"/>
          <w:sz w:val="18"/>
          <w:szCs w:val="18"/>
          <w:color w:val="auto"/>
        </w:rPr>
      </w:pPr>
    </w:p>
    <w:p>
      <w:pPr>
        <w:ind w:left="1140" w:right="360" w:hanging="369"/>
        <w:spacing w:after="0" w:line="258"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Collegial and collaborative: </w:t>
      </w:r>
      <w:r>
        <w:rPr>
          <w:rFonts w:ascii="Times New Roman" w:cs="Times New Roman" w:eastAsia="Times New Roman" w:hAnsi="Times New Roman"/>
          <w:sz w:val="18"/>
          <w:szCs w:val="18"/>
          <w:color w:val="auto"/>
        </w:rPr>
        <w:t>We promote a clinical culture of collaboration and ongoing learning for our team of mental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Our clinicians share evidence-based practices and meet regularly for continuing education and other collaborative opportunities for learning. They are also strongly supported to work together across disciplines to provide the most comprehensive and clinically effective care possible—often the most effective, evidence-based treatment modality is a combination of psychotherapy and psychiatric medication, and our mix of prescribers and non-prescribers supports the ability to provide optimal patient care.</w:t>
      </w:r>
    </w:p>
    <w:p>
      <w:pPr>
        <w:spacing w:after="0" w:line="75" w:lineRule="exact"/>
        <w:rPr>
          <w:rFonts w:ascii="Times New Roman" w:cs="Times New Roman" w:eastAsia="Times New Roman" w:hAnsi="Times New Roman"/>
          <w:sz w:val="18"/>
          <w:szCs w:val="18"/>
          <w:color w:val="auto"/>
        </w:rPr>
      </w:pPr>
    </w:p>
    <w:p>
      <w:pPr>
        <w:jc w:val="both"/>
        <w:ind w:left="1140" w:hanging="369"/>
        <w:spacing w:after="0" w:line="26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 work-life balance: </w:t>
      </w:r>
      <w:r>
        <w:rPr>
          <w:rFonts w:ascii="Times New Roman" w:cs="Times New Roman" w:eastAsia="Times New Roman" w:hAnsi="Times New Roman"/>
          <w:sz w:val="18"/>
          <w:szCs w:val="18"/>
          <w:color w:val="auto"/>
        </w:rPr>
        <w:t>Our conveniently located centers and virtual care delivery platform provide our clinicians with greater flexibility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convenience to serve their patients in whatever environment is most suitable. This flexibility improves clinician engagement, efficiency and their overall working environment.</w:t>
      </w:r>
    </w:p>
    <w:p>
      <w:pPr>
        <w:spacing w:after="0" w:line="65" w:lineRule="exact"/>
        <w:rPr>
          <w:rFonts w:ascii="Times New Roman" w:cs="Times New Roman" w:eastAsia="Times New Roman" w:hAnsi="Times New Roman"/>
          <w:sz w:val="18"/>
          <w:szCs w:val="18"/>
          <w:color w:val="auto"/>
        </w:rPr>
      </w:pPr>
    </w:p>
    <w:p>
      <w:pPr>
        <w:ind w:left="1140" w:right="200" w:hanging="369"/>
        <w:spacing w:after="0" w:line="261"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digital tools: </w:t>
      </w:r>
      <w:r>
        <w:rPr>
          <w:rFonts w:ascii="Times New Roman" w:cs="Times New Roman" w:eastAsia="Times New Roman" w:hAnsi="Times New Roman"/>
          <w:sz w:val="18"/>
          <w:szCs w:val="18"/>
          <w:color w:val="auto"/>
        </w:rPr>
        <w:t>We have built a centralized operating platform that enables significant efficiencies for our clinicians, alleviating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burden, expanding availability for patient care and improving overall clinician satisfaction. Our unified electronic health record tracking platform, combined with our management of day-to-day operational aspects such as marketing, payor contracting, billing and collecting, intake, and scheduling, alleviates administrative burden and improves overall career engagement.</w:t>
      </w:r>
    </w:p>
    <w:p>
      <w:pPr>
        <w:spacing w:after="0" w:line="71" w:lineRule="exact"/>
        <w:rPr>
          <w:rFonts w:ascii="Times New Roman" w:cs="Times New Roman" w:eastAsia="Times New Roman" w:hAnsi="Times New Roman"/>
          <w:sz w:val="18"/>
          <w:szCs w:val="18"/>
          <w:color w:val="auto"/>
        </w:rPr>
      </w:pPr>
    </w:p>
    <w:p>
      <w:pPr>
        <w:ind w:left="1140" w:right="600" w:hanging="369"/>
        <w:spacing w:after="0" w:line="284"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Robust support services: </w:t>
      </w:r>
      <w:r>
        <w:rPr>
          <w:rFonts w:ascii="Times New Roman" w:cs="Times New Roman" w:eastAsia="Times New Roman" w:hAnsi="Times New Roman"/>
          <w:sz w:val="18"/>
          <w:szCs w:val="18"/>
          <w:color w:val="auto"/>
        </w:rPr>
        <w:t>With our robust support services, we alleviate the administrative burden and free clinicians from the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nonclinical burdens they face in an independent practice, allowing them to dedicate their time to patient care.</w:t>
      </w:r>
    </w:p>
    <w:p>
      <w:pPr>
        <w:spacing w:after="0" w:line="50" w:lineRule="exact"/>
        <w:rPr>
          <w:rFonts w:ascii="Times New Roman" w:cs="Times New Roman" w:eastAsia="Times New Roman" w:hAnsi="Times New Roman"/>
          <w:sz w:val="18"/>
          <w:szCs w:val="18"/>
          <w:color w:val="auto"/>
        </w:rPr>
      </w:pPr>
    </w:p>
    <w:p>
      <w:pPr>
        <w:ind w:left="1140" w:right="40" w:hanging="369"/>
        <w:spacing w:after="0" w:line="26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Competitive compensation package: </w:t>
      </w:r>
      <w:r>
        <w:rPr>
          <w:rFonts w:ascii="Times New Roman" w:cs="Times New Roman" w:eastAsia="Times New Roman" w:hAnsi="Times New Roman"/>
          <w:sz w:val="18"/>
          <w:szCs w:val="18"/>
          <w:color w:val="auto"/>
        </w:rPr>
        <w:t>Our clinicians are employed as W-2 employees by our subsidiaries and supported practices rather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independent contractors, the latter of which we believe is more common in the mental healthcare industry in the United States.</w:t>
      </w:r>
    </w:p>
    <w:p>
      <w:pPr>
        <w:ind w:left="1140" w:right="560"/>
        <w:spacing w:after="0" w:line="250" w:lineRule="auto"/>
        <w:rPr>
          <w:sz w:val="20"/>
          <w:szCs w:val="20"/>
          <w:color w:val="auto"/>
        </w:rPr>
      </w:pPr>
      <w:r>
        <w:rPr>
          <w:rFonts w:ascii="Times New Roman" w:cs="Times New Roman" w:eastAsia="Times New Roman" w:hAnsi="Times New Roman"/>
          <w:sz w:val="18"/>
          <w:szCs w:val="18"/>
          <w:color w:val="auto"/>
        </w:rPr>
        <w:t>Additionally, we offer a flexible visit-based economic model, which allows our clinicians to build their patient panels while flexibly managing caseloads.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Our Payor Partners Expand Access and Lower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in-network payor relationships offering access to our clinician team. We deliver value to our payor partners in several ways:</w:t>
      </w:r>
    </w:p>
    <w:p>
      <w:pPr>
        <w:spacing w:after="0" w:line="115" w:lineRule="exact"/>
        <w:rPr>
          <w:sz w:val="20"/>
          <w:szCs w:val="20"/>
          <w:color w:val="auto"/>
        </w:rPr>
      </w:pPr>
    </w:p>
    <w:p>
      <w:pPr>
        <w:ind w:left="1140" w:right="120" w:hanging="369"/>
        <w:spacing w:after="0" w:line="284"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Access to a national clinician employee base: </w:t>
      </w:r>
      <w:r>
        <w:rPr>
          <w:rFonts w:ascii="Times New Roman" w:cs="Times New Roman" w:eastAsia="Times New Roman" w:hAnsi="Times New Roman"/>
          <w:sz w:val="18"/>
          <w:szCs w:val="18"/>
          <w:color w:val="auto"/>
        </w:rPr>
        <w:t>We deliver a scaled and comprehensive multidisciplinary mental healthcare offering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mix of psychiatric and therapeutic expertise for payors to offer to their members and employer clients.</w:t>
      </w:r>
    </w:p>
    <w:p>
      <w:pPr>
        <w:spacing w:after="0" w:line="50" w:lineRule="exact"/>
        <w:rPr>
          <w:rFonts w:ascii="Times New Roman" w:cs="Times New Roman" w:eastAsia="Times New Roman" w:hAnsi="Times New Roman"/>
          <w:sz w:val="18"/>
          <w:szCs w:val="18"/>
          <w:color w:val="auto"/>
        </w:rPr>
      </w:pPr>
    </w:p>
    <w:p>
      <w:pPr>
        <w:jc w:val="both"/>
        <w:ind w:left="1140" w:right="20" w:hanging="369"/>
        <w:spacing w:after="0" w:line="267"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Lower total medical costs: </w:t>
      </w:r>
      <w:r>
        <w:rPr>
          <w:rFonts w:ascii="Times New Roman" w:cs="Times New Roman" w:eastAsia="Times New Roman" w:hAnsi="Times New Roman"/>
          <w:sz w:val="18"/>
          <w:szCs w:val="18"/>
          <w:color w:val="auto"/>
        </w:rPr>
        <w:t>Long-term analyses demonstrate that incremental spend on mental healthcare for patients results in significantly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savings in total healthcare costs. As a result, improving access and coverage of mental healthcare represents a large cost containment opportunity with a compelling return on investment.</w:t>
      </w:r>
    </w:p>
    <w:p>
      <w:pPr>
        <w:spacing w:after="0" w:line="65" w:lineRule="exact"/>
        <w:rPr>
          <w:rFonts w:ascii="Times New Roman" w:cs="Times New Roman" w:eastAsia="Times New Roman" w:hAnsi="Times New Roman"/>
          <w:sz w:val="18"/>
          <w:szCs w:val="18"/>
          <w:color w:val="auto"/>
        </w:rPr>
      </w:pPr>
    </w:p>
    <w:p>
      <w:pPr>
        <w:ind w:left="1140" w:right="340" w:hanging="369"/>
        <w:spacing w:after="0" w:line="261"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Stronger member and client value proposition: </w:t>
      </w:r>
      <w:r>
        <w:rPr>
          <w:rFonts w:ascii="Times New Roman" w:cs="Times New Roman" w:eastAsia="Times New Roman" w:hAnsi="Times New Roman"/>
          <w:sz w:val="18"/>
          <w:szCs w:val="18"/>
          <w:color w:val="auto"/>
        </w:rPr>
        <w:t>We believe our clinicians provide best-in-class mental health treatment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which enables payors to provide to their members a superior experience. Because mental health conditions can lead to employee absenteeism and lower productivity, we believe our payor partners are also well-positioned to deliver value to their employer clients.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Primary Care and Specialist Physician Partners Can More Effectively Improve the Lives of their Patients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partner with primary care physicians and specialist physician groups to deliver improved health outcomes for our shared patients:</w:t>
      </w:r>
    </w:p>
    <w:p>
      <w:pPr>
        <w:spacing w:after="0" w:line="115" w:lineRule="exact"/>
        <w:rPr>
          <w:sz w:val="20"/>
          <w:szCs w:val="20"/>
          <w:color w:val="auto"/>
        </w:rPr>
      </w:pPr>
    </w:p>
    <w:p>
      <w:pPr>
        <w:ind w:left="1140" w:hanging="369"/>
        <w:spacing w:after="0" w:line="257"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More efficient referral base to broaden access: </w:t>
      </w:r>
      <w:r>
        <w:rPr>
          <w:rFonts w:ascii="Times New Roman" w:cs="Times New Roman" w:eastAsia="Times New Roman" w:hAnsi="Times New Roman"/>
          <w:sz w:val="18"/>
          <w:szCs w:val="18"/>
          <w:color w:val="auto"/>
        </w:rPr>
        <w:t>We offer our primary care and specialist partners a diverse group of mental health clinicians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they can refer their patients, allowing their patients to receive high-quality, evidence-based care covering their mental and physical health needs. Large provider groups can partner with us to streamline their mental health referrals and receive visibility into the status of their patients once they are referred. By gaining access to our extensive team of clinicians, primary care and specialist physicians feel more comfortable screening for and identifying mental health conditions and can more easily and consistently connect patients with the care they need.</w:t>
      </w:r>
    </w:p>
    <w:p>
      <w:pPr>
        <w:spacing w:after="0" w:line="74" w:lineRule="exact"/>
        <w:rPr>
          <w:rFonts w:ascii="Times New Roman" w:cs="Times New Roman" w:eastAsia="Times New Roman" w:hAnsi="Times New Roman"/>
          <w:sz w:val="18"/>
          <w:szCs w:val="18"/>
          <w:color w:val="auto"/>
        </w:rPr>
      </w:pPr>
    </w:p>
    <w:p>
      <w:pPr>
        <w:ind w:left="1140" w:right="80" w:hanging="369"/>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Enable more integrated care and lower costs: </w:t>
      </w:r>
      <w:r>
        <w:rPr>
          <w:rFonts w:ascii="Times New Roman" w:cs="Times New Roman" w:eastAsia="Times New Roman" w:hAnsi="Times New Roman"/>
          <w:sz w:val="18"/>
          <w:szCs w:val="18"/>
          <w:color w:val="auto"/>
        </w:rPr>
        <w:t>We believe mental and physical healthcare integration may help lower costs to our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physician partners under payment models where reimbursement rates are tied to quality and value-based outcomes. Our collaborative models of care, delivered through our partnerships with primary care physicians and specialists, aim to improve early diagnosis of mental health conditions, leading to more timely and appropriate treatment, which in turn may lead to improved quality outcomes and lower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believe we are well positioned to sustain our strong track record of growth and to reimagine mental healthcare in the United States. To achieve this, we are anchored on delivering the highest-quality care for our patients and our value proposition to our key stakeholders.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Scalable Platform with Proven Growth Playbook</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To drive growth in our clinician base, we have developed an in-house clinician recruiting model that is built on our compelling clinician value proposition. We believe our guiding principle of creating a national platform built with a patient and clinician focus has made us the partner of choice for smaller, independent practices.</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to expanding existing and acquiring practices, we open de novo centers in certain markets to provide physical locations for our clinicians to deliver on our hybrid model of in-person or virtual care.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and Optimize Our Presence in Existing Markets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we have built a powerful market growth engine that allows us to rapidly grow our presence within our markets and unlock potential latent demand through our differentiated scale, access and affordability. We have a significant opportunity to scale within our existing footprint. Our investments in technology are a critical component of our growth, improving our patient and clinician experience and enabling us to leverage our platform scale to expand our reach. Our virtual and in-person care model allows us to optimize our utilization within our existing center and clinician footprint while flexibly scaling our platform capacity across our markets to meet demand. Our existing payor and primary care physician relationships further support this rapid growth by improving our patient access as we grow in our markets. Our unified technology and operational platform is also highly scalable, helping us sustain our rapid growth.</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our expansion through de novo centers and acquisitions, in 2023, we announced a strategic re-focus, to prioritize resources and close certain centers as a direct result of changes to our business model driven by a shift to more virtual visits. As a result, we have completed a significant reduction in physical space and exited several underoccupied offices by both negotiating terminations of and abandoning certain real estate leases, and plan to continue to optimize our real estate footprint on a go-forward basis as part of our recurring operations.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Enter into New Markets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our model is highly replicable nationally. We identify new markets based on the core characteristics of attractive patient population demographics, substantial clinician recruiting opportunities, untreated patient communities and a diverse group of payors. We are able to enter new markets and grow our clinician base in those markets via acquisitions of clinician groups and through clinician hiring. Acquired centers and de novo centers provide a physical location for our clinicians, allowing care to be delivered in-person or virtually based on optimal patient care. Our multiple national payor contracts ensure we have immediate in-network coverage in our new markets, transforming patient access and unlocking potential latent demand. The highly fragmented nature of our industry provides us with significant opportunity to build and expand our presence across the United States.</w:t>
      </w:r>
    </w:p>
    <w:p>
      <w:pPr>
        <w:spacing w:after="0" w:line="79" w:lineRule="exact"/>
        <w:rPr>
          <w:sz w:val="20"/>
          <w:szCs w:val="20"/>
          <w:color w:val="auto"/>
        </w:rPr>
      </w:pPr>
    </w:p>
    <w:p>
      <w:pPr>
        <w:ind w:right="360" w:firstLine="509"/>
        <w:spacing w:after="0" w:line="375" w:lineRule="auto"/>
        <w:rPr>
          <w:sz w:val="20"/>
          <w:szCs w:val="20"/>
          <w:color w:val="auto"/>
        </w:rPr>
      </w:pPr>
      <w:r>
        <w:rPr>
          <w:rFonts w:ascii="Times New Roman" w:cs="Times New Roman" w:eastAsia="Times New Roman" w:hAnsi="Times New Roman"/>
          <w:sz w:val="18"/>
          <w:szCs w:val="18"/>
          <w:color w:val="auto"/>
        </w:rPr>
        <w:t xml:space="preserve">Consistent with the corporate practice of medicine doctrine, in certain states, we acquire and operate some of our centers as supported practices. </w:t>
      </w:r>
      <w:r>
        <w:rPr>
          <w:rFonts w:ascii="Times New Roman" w:cs="Times New Roman" w:eastAsia="Times New Roman" w:hAnsi="Times New Roman"/>
          <w:sz w:val="18"/>
          <w:szCs w:val="18"/>
          <w:b w:val="1"/>
          <w:bCs w:val="1"/>
          <w:i w:val="1"/>
          <w:iCs w:val="1"/>
          <w:color w:val="auto"/>
        </w:rPr>
        <w:t>Grow Our Partnerships with Key Stakeholders</w:t>
      </w:r>
    </w:p>
    <w:p>
      <w:pPr>
        <w:spacing w:after="0" w:line="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enjoy preferred national relationships with a number of payors based on our scale, comprehensive service offering and ability to integrate mental healthcare. We are focused on improving the lives of our patients through validated outcomes that enable healthcare cost savings and further increasing our value as a partner to payors, primary care and specialist physicians and employers. Our goal is to continue to closely integrate mental and physical care. We believe that increased integration across the industry could enable payors to realize their population health goals and enable our primary care and specialist physician partners to successfully operate within value-based care and outcomes-driven reimbursement models. As we continue to grow, we see an opportunity to augment the scope of our relationships with each of our stakeholders. We believe our deepening relationships with each of these key healthcare stakeholders will further drive our success as we benefit from continued growth in our patient referral networks.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Integrated Platform Is Reimagining Mental Health</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purpose-built an integrated platform to reimagine how mental healthcare is delivered. Our patient-focused platform combines differentiated clinical capabilities with a personalized, digitally powered patient experience designed to transform patient access and treatment.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Extensive Scale, Breadth and Access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reimagining access to mental healthcare in the United States. We are one of the nation’s largest providers of outpatient mental healthcare in the country based on the number of clinicians we employ through our subsidiaries and our supported practices and our geographic scale, employing 7,424 dedicated clinicians in 33 states, as of December 31, 2024. In 2024, our clinicians treated more than 940,000 unique patients through approximately 7.9 million visits. We serve all patient demographics through a comprehensive suite of mental health services to treat the most common mental health conditions. Our care delivery model enables patient access via virtual or in-person visits, at their convenience. We believe the scale, breadth and depth of our offering is unmatched in our industry.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Clinicians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strive to provide a best-in-class working environment for our 7,424 employed psychiatrists, APNs, psychologists and therapists. We believe our dedicated employment model offers a superior value proposition compared to independent practice. We employ a comprehensive range of mental health professionals to provide multi-disciplinary clinical modalities through our subsidiaries and our supported practices. We serve all patient demographics— children, adolescents, adults and geriatrics. Patients have seamless access to our multidisciplinary team of licensed mental health clinicians, including psychiatrists, APNs, psychologists and therapists. Our breadth of clinical capabilities facilitates coordination across psychiatric and psychotherapy treatment modalities, limiting the need to refer patients externally as their needs are met within our comprehensive service offerings. Our clinicians have access to our digital platform, which allows for shared electronic medical records for internal communication, and facilitates patient referrals within our clinician team, both of which support our collaborative approach to care.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Services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offer a comprehensive suite of services to meet patients’ needs across their mental healthcare journey. Our clinicians provide services spanning psychiatric evaluations and treatment, psychological and neuropsychological testing, and individual, family and group therapy. We treat a broad range of mental health conditions, including anxiety, depression, bipolar disorder, eating disorders, psychotic disorders and post-traumatic stress disorder. We use evidence-based approaches to ensure effective treatment.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Digital Strategy</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believe that, while advanced digital capabilities are an essential part of the future of mental healthcare delivery, it is difficult to replicate and replace the in-person, human aspect of care. As a result, we have built a holistic, people-driven, digitally enabled care experience.</w:t>
      </w: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From the first interaction with LifeStance, our digital capabilities enable us to improve patient access, match patients with clinicians more efficiently and successfully, inform clinician decisions through data-driven insights and streamline referrals and consultations.</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uniting virtual and in-person treatment with the goal to redefine the delivery of mental healthcare for consumers across the ecosystem—one that delivers virtual engagement as personalized and human as the best in-person visits, and in-person visits as simple and seamless as the best digital experiences.</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Across our digital pathways, through our ability to increase access to care and lower the cost of treatment, we believe LifeStance delivers distinct value today, while continuing to shape and bring to life a vision for potentially even greater value in the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Hybrid Care Delivery Model</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deliver comprehensive care to our patients through a seamless and convenient virtual and in-person experience that allows patients to choose how they access their treatment. Within our care delivery model, patients can easily switch from virtual to in-person care due to unforeseen circumstances —for example, if they are delayed at work, traveling or at home with an ill child—which improves continuity of care. This flexibility is especially critical in certain circumstances when, for example, a patient changes medications and a two-week follow-up is necessary to ensure effectiveness. Our hybrid virtual and in-person delivery model is also crucial in treating certain mental health conditions, such as active substance abuse, eating disorders and autism, where we believe in-person treatment is essential to generate successful outcomes compared to virtual-only delivery models.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Centers</w:t>
      </w:r>
    </w:p>
    <w:p>
      <w:pPr>
        <w:spacing w:after="0" w:line="121"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When they choose to do so, our patients can receive in-person care at one of our 569 centers, both acquired and de novo. Currently, our typical de novo center comprises 4,000 to 5,000 square feet and 12 to 15 clinician exam rooms. We aim systematically to locate our de novo centers within a given market to ensure convenient coverage for in-person access to care. To provide our patients and clinicians with flexibility, our centers are generally open five days a week from 7:00 a.m. to 9:00 p.m. local time, with some open on Saturdays. Each of our centers offers a comprehensive clinical care team of clinicians offering psychiatric and psychotherapy services.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aim to provide a superior in-person patient experience. Our de novo centers are built and fully outfitted to architectural design standards to create a comfortable and welcoming experience for our patients and clinicians that is replicated across our markets. Our spaces are compassionate, human-centric environments, thoughtfully designed to support best practices in mental healthcare, while providing a collaborative and inclusive backdrop for patients and clinicians alike.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Virtual Care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enhance patient access, we offer patients the ability to conduct a given visit with their clinician virtually. Our virtual visit experience is convenient and easy to use. Patients can schedule their visit online and are able to conduct their visit via our digital platform at the time of their appointment from their computer, mobile device or tablet. In advance of their appointments, patients are sent an automatic reminder via text or e-mail, depending on their preference, with a link to launch the visit. We further optimize patient engagement through our convenient digital tools, including online messaging, adherence reminders, online prescription refills and online payments. Our patient portal allows patients and clinicians to communicate regularly, which is critical in a variety of circumstances, including for example, to help prevent errors in medication dosing and compliance. By offering these accessible tools, we believe patients are more likely to seek care and maintain appointments, driving further engagement and improving health outcomes.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Patient Acquisition Strategy</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focus on driving growth in our patient base primarily through two avenues: pursuing contracts with payors on a national, regional and local level; and our development of referral relationships with physicians, most notably in primary care, as well as specialist physicians.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Payor Relationships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a large and diverse base of national, regional and local payors. Our dedicated payor relationship team is divided into regions to ensure that strong relationships with regional operations teams and insurance companies are cultivated. Our payor contracting teams consist of professionals with decades of experience working with a broad spectrum of payors from large national payors to regional and state-based payors. We believe this expertise is critical to allowing our team to engage with payors more effectively than other providers. Our teams negotiate, implement and manage new payor relationships, drive regional rate improvement and advance key initiatives. To expand this network and grow access to covered patients, we continue to evaluate new payor relationships and national and regional contracts where we believe the payor's policies and approach to mental healthcare align with our mission while also seeking to drive regional rate improvement, including terminating certain of our lower-volume payor contracts, to support continued investment in our differentiated model for delivering mental healthcare. Two payors individually exceeded 10% of our total revenue for the year ended December 31, 2024: UnitedHealthcare and Elevance Health, Inc., comprising 17% and 15%, respectively. Our contracts with payors are generally fee-for-services arrangements. Currently, only a small portion of</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500"/>
        <w:spacing w:after="0" w:line="282" w:lineRule="auto"/>
        <w:rPr>
          <w:sz w:val="20"/>
          <w:szCs w:val="20"/>
          <w:color w:val="auto"/>
        </w:rPr>
      </w:pPr>
      <w:r>
        <w:rPr>
          <w:rFonts w:ascii="Times New Roman" w:cs="Times New Roman" w:eastAsia="Times New Roman" w:hAnsi="Times New Roman"/>
          <w:sz w:val="18"/>
          <w:szCs w:val="18"/>
          <w:color w:val="auto"/>
        </w:rPr>
        <w:t>our contracts provide for incremental payments tied to the attainment of quality or performance metrics, and such payments comprised an immaterial portion of our revenue during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Physician Relationships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a large base of regional referring primary care physicians, specialist physicians and other network providers. Within our markets, we partner with primary care practice groups, specialists, health systems and academic institutions to refer patients to our centers and clinicians. To build and maintain this base of partners we have a dedicated partner relationship team that works directly with these partners along with our regional operations teams. This team focuses primarily on creating awareness of our platform and services including existing and new centers as well the introduction of newly hired clinicians with appointment availability and providing defined referral pathways to help these partners and their patients timely access care. When establishing new centers, we seek to build relationships with proximally located primary care and specialty offices as well as psychiatric hospitals to raise awareness. We achieve this through in-person visits as well as offline and online marketing.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also use marketing strategies to develop our national brand to increase brand awareness and promote additional channels of patient recruitment. Our channel marketing strategies are online through web, social media and paid social ad campaigns and search engines, including direct-to-consumer paid search optimization. Clinicians accepting new patients can be booked for appointments directly online. We also hand out a limited number of printed brochures or other marketing materials to raise awareness of the Company locally.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Some states have laws that prohibit business entities with non-physician owners from practicing medicine, which are generally referred to as the corporate practice of medicine. See “—Government Regulation—Corporate Practice and Fee-Splitting.” In states where we are not subject to corporate practice of medicine laws, we operate our business through centers that are wholly owned by our subsidiaries. In states where the corporate practice of medicine doctrine applies, in order to comply with such laws, we do not own the centers or directly employ the clinicians. Instead, such practices are owned by our Chief Medical Officer or other licensed clinical leadership employees. However, we own substantially all of the non-medical assets of the center and enter into a long-term management services contract with the center pursuant to which we provide all the management services to the center that it needs to operate, with the exception of medical or clinical services. As of December 31, 2024, 397 of our 569 centers were operated as supported practices. We manage our wholly-owned centers and supported practices consistently and generally do not distinguish between our wholly-owned centers and supported practices in operating our business, subject to compliance with applicable law.</w:t>
      </w:r>
    </w:p>
    <w:p>
      <w:pPr>
        <w:spacing w:after="0" w:line="80"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subsidiaries directly employ the clinicians who practice at our wholly-owned centers, whereas, with respect to our supported practices, our supported practices directly employ the clinicians. Any payment to a clinician at a supported practice is made pursuant to the clinician’s employment agreement with the supported practice (not through the management services contract).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Payor Agreements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and our supported practices have payor relationships across multiple independent regional and national contracts. These relationships allow members to utilize their in-network benefits when such individual elects to receive service from one of our clinicians. As of December 31, 2024, our contracts with payors typically provide for an initial term of one to three years and auto-renewal thereafter for additional one-year terms, with a majority of those agreements in automatic annual renewal stages. The contracts with our two largest payor partners are entered into on substantially consistent terms. In most markets, our practices have been contracted (in-network with payors) for more than a decade. While length of contract and economic terms are often negotiated, payors generally use form contracts that contain terms and conditions that are standard in the industry. A small number of our agreements with payors also include terms and conditions to incentivize us and facilitate our ability to provide quality care to that plan’s members, with modest bonus payments tied to quality or utilization metrics.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contracts governing the relationships with our payors include terms such as the period of performance, reimbursement rates and termination clauses. Typically, these contracts provide for a pre-determined fee based on a negotiated fee for service schedule or a customary charge that is typically a certain percentage of the fees specified in the CMS Medicare Physician Fee Schedule that is charged to the patient and the payor when a patient covered by the payor obtains services from one of our clinicians.</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Many of our contracts are terminable for convenience by either the payor or us after a notice period has passed. The related notice period in our contracts is negotiated on a case-by-case basis and is dependent on many factors, some of which are outside of our control. Most of our contracts include cure periods for certain breaches, during which time we may attempt to resolve any issues that would trigger a payor’s ability to terminate the contract. Certain of our contracts may be terminated immediately by the payor if we lose applicable licenses, go bankrupt, lose our liability insurance, become insolvent, file for bankruptcy or receive an exclusion, suspension or debarment from state or federal government authorities. Additionally, if a payor were to lose applicable licenses, go bankrupt, lose liability insurance, become insolvent, file for bankruptcy or become excluded, suspended or debarred by state or federal government authorities, our contract with such payor could in effect be terminated. The loss, termination or renegotiation of any contract could negatively impact our results. In addition, as payors’ businesses respond to market dynamics and financial pressures,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120"/>
        <w:spacing w:after="0" w:line="282" w:lineRule="auto"/>
        <w:rPr>
          <w:sz w:val="20"/>
          <w:szCs w:val="20"/>
          <w:color w:val="auto"/>
        </w:rPr>
      </w:pPr>
      <w:r>
        <w:rPr>
          <w:rFonts w:ascii="Times New Roman" w:cs="Times New Roman" w:eastAsia="Times New Roman" w:hAnsi="Times New Roman"/>
          <w:sz w:val="18"/>
          <w:szCs w:val="18"/>
          <w:color w:val="auto"/>
        </w:rPr>
        <w:t>and as they make strategic business decisions in respect of the lines of business they pursue and programs in which they participate, we expect that certain of our payors will, from time to time, seek to restructure their agreements with us.</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contracts with our payors impose other obligations on us. For example, we typically agree that all services provided under the payor contract and all employees providing such services will comply with the payor’s policies and procedures. Further, upon termination, we are generally obligated to continue the provision of covered services to a member for a certain amount of time or a given event, for example, for a period of 60 days or until the member is discharged from services. In addition, in most instances, we have agreed to indemnify our payors against certain third-party claims, which may include claims relating to the services performed under the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market for mental health services is competitive. We compete in a highly fragmented market with direct and indirect competitors that offer varying levels of impact to key stakeholders such as patients, clinicians, payor partners and physician partners. Our competitors primarily include other mental health providers that deliver services virtually or in-person. Our indirect competitors also include episodic consumer-driven point solutions, such as in-person and virtual life coaching, digital therapy and support tools and other technologies related to mental healthcare. As the demand and market for mental health services continue to grow, we may also face competition from new market entrants, including major retailers that have recently begun to offer in-person and virtual mental healthcare in certain markets. However, as our market grows, new stakeholders in the healthcare ecosystem could provide increased partnership opportunities for us. Each of the individual geographic areas in which we operate has a different competitive landscape. In each of our markets we compete with other mental health providers for patients and in contracting with commercial payors. In addition, we face intense competition from other clinical practices, hospitals, health systems and other outpatient mental health providers in recruiting psychiatrists, APNs, psychologists, therapists, and other healthcare professionals.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competitive factors in our industry include:</w:t>
      </w:r>
    </w:p>
    <w:p>
      <w:pPr>
        <w:spacing w:after="0" w:line="117" w:lineRule="exact"/>
        <w:rPr>
          <w:sz w:val="20"/>
          <w:szCs w:val="20"/>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engagement and satisfaction;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outcomes for patients;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digital tools;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negotiate favorable reimbursement rates;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accessibility and availability;</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capabilities;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quality clinicians;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models;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footprint;</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participation in insurance plans;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of models;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resources and stability.</w:t>
      </w:r>
    </w:p>
    <w:p>
      <w:pPr>
        <w:spacing w:after="0" w:line="117" w:lineRule="exact"/>
        <w:rPr>
          <w:sz w:val="20"/>
          <w:szCs w:val="20"/>
          <w:color w:val="auto"/>
        </w:rPr>
      </w:pPr>
    </w:p>
    <w:p>
      <w:pPr>
        <w:ind w:right="240" w:firstLine="509"/>
        <w:spacing w:after="0" w:line="289" w:lineRule="auto"/>
        <w:rPr>
          <w:sz w:val="20"/>
          <w:szCs w:val="20"/>
          <w:color w:val="auto"/>
        </w:rPr>
      </w:pPr>
      <w:r>
        <w:rPr>
          <w:rFonts w:ascii="Times New Roman" w:cs="Times New Roman" w:eastAsia="Times New Roman" w:hAnsi="Times New Roman"/>
          <w:sz w:val="17"/>
          <w:szCs w:val="17"/>
          <w:color w:val="auto"/>
        </w:rPr>
        <w:t>We believe that we compete favorably with our competitors on the basis of these factors and we believe the offerings of competitors inadequately simultaneously address the needs of key stakeholders or fail to do so at scale. See “Risk Factors—Risks Related to Our Business—We operate in a competitive industry, and if we are not able to compete effectively our business, results of operations and financial condition would be harmed.”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healthcare industry and the practice of medicine are governed by an extensive and complex framework of federal and state laws, which continue to evolve and change over time. The costs and resources necessary to comply with these laws are high. Our profitability depends in part upon our ability to operate in compliance with applicable laws and to maintain all applicable licenses.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A review of our business by courts or regulatory authorities could result in determinations that could adversely affect our operations or healthcare regulatory environment may change in a way that impacts our operations.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Practice of Medicine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Practice and Fee-Splitting</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corporate practice of medicine prohibition exists in some form, by statute, regulation, board of medicine or attorney general guidance, or case law, in certain of the states in which we operate. These laws generally prohibit the practice of medicine or practice of psychology by lay-persons or entities and are intended to prevent unlicensed persons or entities from interfering with or inappropriately influencing providers’ professional judgment.</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these states, we contract with supported practices, who in turn employ or retain licensed clinicians and other staff to deliver mental healthcare services to patients. We enter into management contracts with our supported practices pursuant to which we provide a wide range of administrative services and receive payment from our supported practices. These administrative services arrangements are subject to state laws, including those in certain of the states where we operate, which prohibit the practice of medicine and the corporate practice of psychology by, and/or the splitting of professional fees with, non-professional persons or entities such as general business corporations.</w:t>
      </w:r>
    </w:p>
    <w:p>
      <w:pPr>
        <w:spacing w:after="0" w:line="75"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Corporate practice and fee-splitting prohibitions vary widely from state to state. In addition, such prohibitions are subject to broad powers of interpretation and enforcement by state regulators. Our failure to comply could lead to adverse action against us and/or our clinicians by courts or state agencies, civil or criminal penalties, loss of clinician licenses, or the need to restructure our business model and/or clinician relationships, any of which could harm our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Practice of Medicine and Provider Licensing</w:t>
      </w:r>
    </w:p>
    <w:p>
      <w:pPr>
        <w:spacing w:after="0" w:line="11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practice of medicine and the practice of psychology are subject to various federal, state, and local laws and requirements, including, among other things, laws relating to quality and adequacy of care, clinical personnel, supervisory requirements, mental health, medical equipment, and the prescribing and dispensing of pharmaceuticals and controlled substances.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Telehealth Provider Licensing, Medical Practice, Certification and Related Laws and Guidelines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Clinicians who provide professional medical services to a patient via telehealth must, in most instances, hold a valid license to practice medicine in the state in which the patient is located. Federal and state laws also limit the ability of clinicians to prescribe pharmaceuticals and controlled substances via telehealth. We have established systems for ensuring that our supported clinicians are appropriately licensed under applicable state law and that their provision of telehealth to our members occurs in each instance in compliance with applicable rules governing telehealth. Failure to comply with these laws and regulations could lead to adverse action against our clinicians, which could harm our business model and/or clinicians relationships and have a negative impact on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and Federal Health Information Privacy and Security Laws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HIPAA</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must comply with various federal and state laws related to the privacy and security of personal identifiable information ("PII"), including health information. In particular, the federal Health Insurance Portability and Accountability Act of 1996 ("HIPAA") establishes privacy and security standards that limit the use and disclosure of protected health information ("PHI") and requires the implementation of administrative, physical, and technical safeguards to ensure the confidentiality, integrity, and availability of PHI. HIPAA’s requirements are also directly applicable to the contractors, agents, and other business associates of covered entities that create, receive, maintain, or transmit PHI in connection with their provision of services to covered entities. Certain of our entities and supported practices are covered entities, while our management service entities are business associates. Additionally, under guidance from the Department of Health and Human Services Office for Civil Rights (“OCR”), deploying online tracking technologies generally used to collect and analyze information about user behavior and enhance the user experience may, under certain circumstances, constitute an impermissible disclosure of PHI under HIPAA and result in liability. The OCR also finalized a rule in April of 2024 modifying existing standards permitting uses and disclosures of PHI when PHI pertains to reproductive healthcare, which is defined broadly.</w:t>
      </w:r>
    </w:p>
    <w:p>
      <w:pPr>
        <w:spacing w:after="0" w:line="8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Violations of HIPAA may result in civil and criminal penalties. The civil penalties include civil monetary penalties of up to $71,162 per violation, not to exceed $2,134,831 for violations of the same standard in a single calendar year (as of 2024, and subject to periodic adjustments for inflation), and in certain circumstances, criminal penalties with fines up to $250,000 per violation and/or imprisonment. However, a single breach incident can result in violations of multiple standards.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also subject to the HIPAA breach notification rule, which requires covered entities to notify affected individuals of breaches of unsecured PHI. In addition, covered entities must notify the OCR and the local media if a breach affects more than 500 individuals. Breaches affecting fewer than 500 individuals must be reported to OCR on an annual basis. The HIPAA regulations also require business associates to notify the covered entity of breaches by the business associate.</w:t>
      </w:r>
    </w:p>
    <w:p>
      <w:pPr>
        <w:spacing w:after="0" w:line="72"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Many states in which we operate have their own laws protecting the privacy and security of personal information, including health information. We must comply with such laws in the states where we do business in addition to our obligations under HIPAA. In some states, such as California and Washington, state privacy laws are even more protective than HIPAA. It may sometimes be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ind w:right="500"/>
        <w:spacing w:after="0" w:line="282" w:lineRule="auto"/>
        <w:rPr>
          <w:sz w:val="20"/>
          <w:szCs w:val="20"/>
          <w:color w:val="auto"/>
        </w:rPr>
      </w:pPr>
      <w:r>
        <w:rPr>
          <w:rFonts w:ascii="Times New Roman" w:cs="Times New Roman" w:eastAsia="Times New Roman" w:hAnsi="Times New Roman"/>
          <w:sz w:val="18"/>
          <w:szCs w:val="18"/>
          <w:color w:val="auto"/>
        </w:rPr>
        <w:t>necessary to modify our operations and procedures to comply with these more stringent state laws. State data privacy and security laws are subject to change and exist in more than 20 states, and we could be subject to financial penalties and sanctions if we fail to comply with these laws.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 C.F.R. Part 2 and Other Privacy Laws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Federal Substance Abuse Confidentiality Regulations, known as 42 C.F.R. Part 2 ("Part 2"), serve to protect patient records created by federally assisted programs for the treatment of substance use disorders. The fine structure for Part 2 violations was recently updated in February 2024 to align the civil and criminal enforcement authorities that apply to HIPAA violations. As such, the penalties for Part 2 violations have increased, rising from up to $5,000 for individuals and $10,000 for organizations on a per-violation basis to a $50,000 maximum penalty for failure to comply with the Part 2 requirements and a $250,000 maximum penalty for wrongful disclosure of individually identifiable health information.</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federal and state laws protecting the privacy and security of personal information, we may be subject to other types of federal and state privacy and consumer protection laws, including laws that prohibit unfair privacy and security practices and deceptive statements about privacy and security, along with laws that impose specific requirements on certain types of activities, such as data security and texting.</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recent years, there have been a number of well publicized data breaches involving the improper use and disclosure of PII and PHI. Many states have responded to these incidents by enacting laws requiring holders of personal information to maintain safeguards and all 50 states require certain actions in response to a data breach, such as providing prompt notification of the breach to affected individuals and state officials and, in some states, provision of credit monitoring services and/or other relevant services to impacted individuals. In addition, under HIPAA and pursuant to the related contracts that we enter into with our clients who are covered entities, we must report breaches of unsecured PHI to our clients following discovery of the breach. Notification must also be made in certain circumstances to affected individuals, federal authorities and others.</w:t>
      </w:r>
    </w:p>
    <w:p>
      <w:pPr>
        <w:spacing w:after="0" w:line="7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to privacy and security laws, healthcare providers are also subject to additional requirements intended to promote interoperability and the exchange of patient health information. Pursuant to rules promulgated under the 21st Century Cures Act, healthcare providers are prohibited from engaging in "information blocking" activities that interfere with legally permissible access exchange, or use of electronic health information. Violations may result in penalties of up to $1,000,000 per violation, and enforcement of the information blocking penalties began on September 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Association and network rules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applicable privacy and data security laws, we may be subject to card association rules and regulations. For example, an independent standards-setting organization, the Payment Card Industry (“PCI”) Security Standards Council developed a set of comprehensive requirements concerning payment card account security through the transaction process, called the Payment Card Industry Data Security Standard ("PCI DSS"). All merchants and service providers that store, process and transmit payment card data are required to comply with PCI DSS as a condition to accepting credit cards. We must implement certain data security measures and are subject to annual reviews to ensure compliance with PCI standards worldwide and are subject to fines and other penalties if we fail to maintain a valid certificate or are otherwise are found to be non-compliant.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Laws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Stark Law</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the federal physician Ethics in Patient Referrals Act, commonly known as the Stark Law, which prohibits physicians from referring Medicare or Medicaid patients to an entity for the provision of certain “designated health services” if the referring physician or a member of the physician’s immediate family has a direct or indirect financial relationship (including an ownership interest or a compensation arrangement) with the entity, unless an exception applies. The Stark Law is a strict liability statute, which means intent to violate the law is not required. In addition, the government and some courts have taken the position that claims presented in violation of various fraud, waste, and abuse laws, including the Stark Law, can be considered a predicate legal violation to submission of a false claim under the federal False Claims Act (described below) on the grounds that a provider impliedly certifies compliance with all applicable laws and rules when submitting claims for reimbursement. Penalties for violating the Stark Law may include: denial of payment for services ordered in violation of the law, recoupments of monies paid for such services, civil penalties for each violation and three times the dollar value of each such service, and exclusion from participation in government healthcare programs. Violations of the Stark Law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Statute</w:t>
      </w:r>
    </w:p>
    <w:p>
      <w:pPr>
        <w:spacing w:after="0" w:line="119" w:lineRule="exact"/>
        <w:rPr>
          <w:sz w:val="20"/>
          <w:szCs w:val="20"/>
          <w:color w:val="auto"/>
        </w:rPr>
      </w:pPr>
    </w:p>
    <w:p>
      <w:pPr>
        <w:jc w:val="both"/>
        <w:ind w:right="14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the federal Anti-Kickback Statute, which, subject to certain exceptions known as “safe harbors,” prohibits the knowing and willful offer, payment, solicitation or receipt of any bribe, kickback, rebate or other remuneration, in cash or in kind, in return for, or to induce, the (1) the referral of a person covered by government healthcare programs, (2) the furnishing or arranging for the furnishing of items or services reimbursable under government healthcare programs, or (3) the purchasing, leasing, ordering, or arranging or recommending the purchasing, leasing, or ordering, of any item or service reimbursable under government healthcare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20"/>
        <w:spacing w:after="0" w:line="253" w:lineRule="auto"/>
        <w:rPr>
          <w:sz w:val="20"/>
          <w:szCs w:val="20"/>
          <w:color w:val="auto"/>
        </w:rPr>
      </w:pPr>
      <w:r>
        <w:rPr>
          <w:rFonts w:ascii="Times New Roman" w:cs="Times New Roman" w:eastAsia="Times New Roman" w:hAnsi="Times New Roman"/>
          <w:sz w:val="18"/>
          <w:szCs w:val="18"/>
          <w:color w:val="auto"/>
        </w:rPr>
        <w:t>programs. Federal courts have held that the Anti-Kickback Statute can be violated if just one purpose of a payment is to induce referrals. Actual knowledge of this statute or specific intent to violate it is not required, which makes it easier for the government to prove that a defendant had the state of mind required for a violation. In addition to a few statutory exceptions, the Office of Inspector General ("OIG") of the U.S. Department of Health and Human Services ("HHS") has promulgated safe 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 that the particular arrangement violates the Anti-Kickback Statute, but business arrangements that do not fully satisfy all elements of a safe harbor may result in increased scrutiny by OIG and other enforcement authorities. Violations of the Anti-Kickback Statute can result in exclusion from government healthcare programs as well as civil and criminal penalties, including fines of $124,732 per violation (as of 2024, and subject to periodic adjustments for inflation) and three times the amount of the unlawful remuneration. Violations of the Anti-Kickback Statute could have a material adverse effect on our business, financial condition, and results of operations.</w:t>
      </w:r>
    </w:p>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Although we believe that our arrangements with physicians and other referral sources comply with current law and available interpretative guidance, as a practical matter, it is not always possible to structure our arrangements so as to fall squarely within an available safe harbor. Additionally, we expect the OIG to issue new regulations adding and modifying safe harbors and to issue new fraud alerts covering the latest conduct that OIG finds problematic, having published a notification of intent to develop regulations and request for public comment on November 27,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False Claims Act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federal False Claims Act prohibits knowingly presenting, or causing to be presented, false claims to government programs, such as Medicare or Medicaid. In addition, the improper retention of an overpayment for 60 days or more is also a basis for a False Claim Act action, even if the claim was originally submitted appropriately. Some states have adopted similar fraud and false claims laws. Government agencies engage in significant civil and criminal enforcement efforts against healthcare companies under the False Claims Act and other civil and criminal statutes. False Claims Act investigations can be initiated not only by the government, but by private parties through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(or whistleblower) lawsuits. Penalties for False Claims Act violations include fines ranging from $13,946 to $27,894 per false claim or statement (as of 2024, and subject to annual adjustments for inflation), plus up to three times the amount of damages sustained by the federal government. Violations of the False Claims Act violations can also result in exclusion from participation in government healthcare programs.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Fraud, Waste and Abuse Laws</w:t>
      </w:r>
    </w:p>
    <w:p>
      <w:pPr>
        <w:spacing w:after="0" w:line="119" w:lineRule="exact"/>
        <w:rPr>
          <w:sz w:val="20"/>
          <w:szCs w:val="20"/>
          <w:color w:val="auto"/>
        </w:rPr>
      </w:pPr>
    </w:p>
    <w:p>
      <w:pPr>
        <w:jc w:val="both"/>
        <w:ind w:right="120" w:firstLine="509"/>
        <w:spacing w:after="0" w:line="257" w:lineRule="auto"/>
        <w:rPr>
          <w:sz w:val="20"/>
          <w:szCs w:val="20"/>
          <w:color w:val="auto"/>
        </w:rPr>
      </w:pPr>
      <w:r>
        <w:rPr>
          <w:rFonts w:ascii="Times New Roman" w:cs="Times New Roman" w:eastAsia="Times New Roman" w:hAnsi="Times New Roman"/>
          <w:sz w:val="18"/>
          <w:szCs w:val="18"/>
          <w:color w:val="auto"/>
        </w:rPr>
        <w:t>Several states in which we operate have also adopted similar fraud, waste, and abuse laws to those described above. The scope and content of these laws vary from state to state and are enforced by state courts and regulatory authorities. Some states’ fraud and abuse laws, known as “all-payor laws,” are not limited to government healthcare programs, but apply more broadly to items or services reimbursed by any payor, including commercial insurers.</w:t>
      </w:r>
    </w:p>
    <w:p>
      <w:pPr>
        <w:spacing w:after="0" w:line="1" w:lineRule="exact"/>
        <w:rPr>
          <w:sz w:val="20"/>
          <w:szCs w:val="20"/>
          <w:color w:val="auto"/>
        </w:rPr>
      </w:pPr>
    </w:p>
    <w:p>
      <w:pPr>
        <w:ind w:right="920"/>
        <w:spacing w:after="0" w:line="365" w:lineRule="auto"/>
        <w:rPr>
          <w:sz w:val="20"/>
          <w:szCs w:val="20"/>
          <w:color w:val="auto"/>
        </w:rPr>
      </w:pPr>
      <w:r>
        <w:rPr>
          <w:rFonts w:ascii="Times New Roman" w:cs="Times New Roman" w:eastAsia="Times New Roman" w:hAnsi="Times New Roman"/>
          <w:sz w:val="18"/>
          <w:szCs w:val="18"/>
          <w:color w:val="auto"/>
        </w:rPr>
        <w:t xml:space="preserve">Liability under state fraud, waste, and abuse laws could result in fines, penalties, and restrictions on our ability to operate in those jurisdictions. </w:t>
      </w:r>
      <w:r>
        <w:rPr>
          <w:rFonts w:ascii="Times New Roman" w:cs="Times New Roman" w:eastAsia="Times New Roman" w:hAnsi="Times New Roman"/>
          <w:sz w:val="18"/>
          <w:szCs w:val="18"/>
          <w:i w:val="1"/>
          <w:iCs w:val="1"/>
          <w:color w:val="auto"/>
        </w:rPr>
        <w:t>Other Healthcare Laws</w:t>
      </w:r>
    </w:p>
    <w:p>
      <w:pPr>
        <w:ind w:firstLine="509"/>
        <w:spacing w:after="0" w:line="254"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their implementing regulations, includes several separate criminal penalties for making false or fraudulent claims to non-governmental payors. The healthcare fraud statute prohibits knowingly and recklessly executing a scheme or artifice to defraud any healthcare benefit program, which includes private payors. Violation of this statute is a felony and may result in fines, imprisonment, or exclusion from government healthcare programs. The false statements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Violation of this statute is a felony and may result in fines or imprisonment. This statute could be used by the government to assert criminal liability if a healthcare provider knowingly fails to refund an overpayment.</w:t>
      </w:r>
    </w:p>
    <w:p>
      <w:pPr>
        <w:spacing w:after="0" w:line="8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the Civil Monetary Penalties Law imposes civil administrative sanctions for, among other violations, (1) inappropriate billing of services to government healthcare programs, (2) employing or contracting with individuals or entities who are excluded from participation in government healthcare programs, and (3) offering or providing Medicare or Medicaid beneficiaries with any remuneration, including full or partial waivers of co-payments and deductibles, that are likely to influence the beneficiary’s selection of a particular provider, practitioner, or supplier (subject to an exception for non-routine, unadvertised co-payment and deductible waivers based on individualized determinations of financial need or exhaustion of reasonable collection efforts).</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Protections against surprise billing have also been promulgated in connection with the Consolidated Appropriations Act of 2021, which introduced the “No Surprises Act.” Becoming effective on January 1, 2022, this rule created new protections against surprise billing and excessive cost sharing for healthcare consumers and creates a dispute resolution process to rectify cost disparities.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Healthcare Competition and Planning Laws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Several states in which we operate—including California, Illinois, Indiana, Massachusetts, Minnesota, Nevada, New York, Oregon and Washington —have adopted competition and healthcare planning laws that affect transactions in the healthcare industry,</w:t>
      </w: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20"/>
        <w:spacing w:after="0" w:line="258" w:lineRule="auto"/>
        <w:rPr>
          <w:sz w:val="20"/>
          <w:szCs w:val="20"/>
          <w:color w:val="auto"/>
        </w:rPr>
      </w:pPr>
      <w:r>
        <w:rPr>
          <w:rFonts w:ascii="Times New Roman" w:cs="Times New Roman" w:eastAsia="Times New Roman" w:hAnsi="Times New Roman"/>
          <w:sz w:val="18"/>
          <w:szCs w:val="18"/>
          <w:color w:val="auto"/>
        </w:rPr>
        <w:t>which are becoming more in-depth and time-consuming. Some states require notification, filings, and/or approvals by state agencies with respect to proposed transactions involving healthcare providers. Such processes can take significant time, require filing fees, result in conditions that require certain operational changes, and include regular annual reviews regarding the cost and quality of services, among other topics. These laws and the level of enforcement by the respective state agencies are subject to continuous change and interpretation, and compliance with these laws could adversely affect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intellectual property is an important asset of the Company that enables us to develop, market, and sell our services and enhance our competitive position. We rely on trademarks, confidentiality procedures, non-disclosure agreements, and employee non-disclosure and invention assignment agreements to establish and protect our proprietary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LifeStance, we are committed to building a culture that prioritizes our employees' wellbeing and represents our values:</w:t>
      </w:r>
    </w:p>
    <w:p>
      <w:pPr>
        <w:spacing w:after="0" w:line="115" w:lineRule="exact"/>
        <w:rPr>
          <w:sz w:val="20"/>
          <w:szCs w:val="20"/>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Belonging: </w:t>
      </w:r>
      <w:r>
        <w:rPr>
          <w:rFonts w:ascii="Times New Roman" w:cs="Times New Roman" w:eastAsia="Times New Roman" w:hAnsi="Times New Roman"/>
          <w:sz w:val="18"/>
          <w:szCs w:val="18"/>
          <w:color w:val="auto"/>
        </w:rPr>
        <w:t>We cultivate a space where everyone can show up as their authentic self.</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Courage: </w:t>
      </w:r>
      <w:r>
        <w:rPr>
          <w:rFonts w:ascii="Times New Roman" w:cs="Times New Roman" w:eastAsia="Times New Roman" w:hAnsi="Times New Roman"/>
          <w:sz w:val="18"/>
          <w:szCs w:val="18"/>
          <w:color w:val="auto"/>
        </w:rPr>
        <w:t>We are all accountable for doing the right thing—even when it's hard—because we know it's worth it.</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Empathy: </w:t>
      </w:r>
      <w:r>
        <w:rPr>
          <w:rFonts w:ascii="Times New Roman" w:cs="Times New Roman" w:eastAsia="Times New Roman" w:hAnsi="Times New Roman"/>
          <w:sz w:val="18"/>
          <w:szCs w:val="18"/>
          <w:color w:val="auto"/>
        </w:rPr>
        <w:t>We seek out diverse perspectives and listen to learn without judgment.</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 Team: </w:t>
      </w:r>
      <w:r>
        <w:rPr>
          <w:rFonts w:ascii="Times New Roman" w:cs="Times New Roman" w:eastAsia="Times New Roman" w:hAnsi="Times New Roman"/>
          <w:sz w:val="18"/>
          <w:szCs w:val="18"/>
          <w:color w:val="auto"/>
        </w:rPr>
        <w:t>We realize our full potential when we work together towards our shared purpose.</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we employed approximately 10,218 employees through our subsidiaries and supported practices, of which 4,205 were directly employed through our subsidiaries and 6,013 were directly employed by our supported practices. The clinicians of our supported practices have entered into employment agreements directly with our supported practices. All employees of our subsidiaries and supported practices are located in the United States. We engage temporary employees, independent contractors and consultants as needed to support our operations. None of our employees are represented by a labor union or subject to a collective bargaining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a Purpose-Driven Culture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our goal to become the mental health employer of choice, we regularly solicit feedback from our employees via a twice a year employee engagement survey. These engagement surveys were designed to ensure that we are fostering a culture where employees are empowered to do their best work. According to our most recent engagement survey, employees consistently report that LifeStance provides a purpose-driven environment where they feel a strong connection to their work and believe what they do at LifeStance is meaningful. They also feel strongly supported by their people managers and empowered to succeed in their roles.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Wellness</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dedicated to creating a workplace where employees feel valued and supported. We offer competitive benefits, including flexible health plan options, a health savings account plan, flexible spending accounts, life and accidental death and dismemberment insurance, short and long-term disability insurance, paid supplemental maternity, paternal and transition leave, and more. Additionally, all employees have access to eight free mental healthcare visits through our employee assistance plan, whether or not they elect benefits through LifeStance.</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support financial wellness, we offer a 401(k) plan under which we match up to 100% of contributions on the first 3% of an employee's eligible earnings, and up to 50% on the next 2% of eligible earnings. We also continue to offer an industry-leading long-term incentive plan for eligible LifeStance employees to earn stock awards as an incentive for increasing access to mental healthcare. We believe providing a path to ownership in LifeStance is a differentiated benefit for our eligible employees.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Inclusion and Belonging</w:t>
      </w:r>
    </w:p>
    <w:p>
      <w:pPr>
        <w:spacing w:after="0" w:line="119"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Our National Diversity, Equity, Inclusion and Belonging ("DEIB") Committees are guided by the vision of fostering a workplace in which individuals of all backgrounds are welcomed by a culture of inclusion and respect. Our National DEIB Committees are focused on education, cultural humility, celebrating difference and taking effective action to ensure every staff member and patient under our care understands that LifeStance is a safe place for them to be their authentic selves. Members of the national committee partner closely with leadership to make recommendations and provide policy guidance to ensure that the pillars of DEIB are represented across the organization. Local committees ensure that we bring our core values of belonging to life at the practice-level and foster inclusion across the organization.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Learning and Development</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are committed to providing ongoing professional development opportunities for all LifeStance employees. In addition to offering live continuing education opportunities, employees can access a wide variety of training, education and development opportunities, including unconscious bias training and leadership development courses, on our HRIS platform.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continue to focus on the environmental impact of our 569 centers. Our new locations utilize materials known for their sustainability practices including Declare certified (and Living Building Challenge compliant) ceiling tiles and grid; SUSTAIN high performance sustainable ceiling systems; Resilient Floor Covering Institute industry average Environmental Product Declaration flooring; Environmental Product Declaration Certified wall base; FloorScore Certified low emitting materials; low or zero VOC paint; and all high-efficiency LED lighting to minimize power consumption.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revenue varies seasonally depending on a number of factors, including the number of business days in a period. We generate lower revenue and experience lower clinician productivity in periods that have fewer business days than other periods. We measure productivity by the number of visits that are performed by a clinician, which is driven by the time clinicians make available to see patients and our ability to fill clinician's schedules by attracting new patients, scheduling patients, and converting scheduled appointments to completed visits. Clinician productivity impacts our ability to generate revenue and also impacts clinician compensation, as clinician compensation is primarily driven by the number of visits provided by each clinician. Recruiting new clinicians and retaining existing clinicians enables us to see more patients by expanding our patient visit capacity. This trend makes it difficult to forecast our future results with precision and to assess accurately whether increases or decreases in any one or more quarters are likely to cause annual results to exceed or fall short of previously issued guidance. Unanticipated future volatility can cause actual results to vary significantly from our guidance, even where that guidance reflects a range of possible results and has been updated to take account of partial-year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Information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January 28, 2021, LifeStance Health Group, Inc. was incorporated in the state of Delaware. Our principal executive office is located at 4800 N. Scottsdale Road, Suite 2500, Scottsdale, Arizona 85251. Our telephone number is (602) 767-2100. Our website address is www.lifestance.com.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supported practices.</w:t>
      </w:r>
    </w:p>
    <w:p>
      <w:pPr>
        <w:spacing w:after="0" w:line="7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if applicable, amendments to those reports filed or furnished pursuant to Section 13(a) of the Securities Exchange Act of 1934, as amended, are available free of charge on or through our web site, www.lifestance.com, as soon as reasonably practicable after we electronically file such material with, or furnish it to, the Securities and Exchange Commission, or the SEC. The SEC’s website, www.sec.gov, contains reports, proxy and information statements, and other information regarding issuers that file electronically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contained in this Annual Report, including our consolidated financial statements and the related notes included elsewhere in this Annual Report, before deciding to invest in our common stock. If any of the following risks should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that we are unaware of or that we do not currently deem material may also become important factors that adversely affect our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reimbursement rates paid by third-party payors are reduced or if third-party payors otherwise restrain our ability to obtain or deliver care to patients, our business could be harmed.</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Private third-party payors pay for the services that we provide to many of our patients. During the year ended December 31, 2024, 96% of our patients were insured as of their latest visit. If any commercial third-party payors reduce their reimbursement rates or elect not to cover some or all of our services, our business, results of operations and financial condition may be harmed. Third-party payors may also elect to create narrow networks, which may exclude our clinicians, or otherwise terminate their agreement with us. A majority of our payor relationships operate across multiple independent regional contracts. Changes in reimbursement rates from these or other large commercial payors could adversely impact our business and results of operations.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Two payors individually exceeded 10% of our total revenue for the year ended December 31, 2024: UnitedHealthcare and Elevance Health, Inc., comprising 17% and 15% of our total revenue, respectively. Therefore, changes in the reimbursement rates, coverage offered by these payors or loss of in-network status may adversely impact our business and results of operations more than changes implemented by other payors.</w:t>
      </w:r>
    </w:p>
    <w:p>
      <w:pPr>
        <w:spacing w:after="0" w:line="68"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We are selective with our payor strategy and have dedicated resources for payor engagement. As we expand our relationships with large payors relative to more numerous smaller payors, these large payors may determine the reimbursement rates and coverage</w:t>
      </w: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7" w:name="page18"/>
    <w:bookmarkEnd w:id="17"/>
    <w:p>
      <w:pPr>
        <w:ind w:right="220"/>
        <w:spacing w:after="0" w:line="258" w:lineRule="auto"/>
        <w:rPr>
          <w:sz w:val="20"/>
          <w:szCs w:val="20"/>
          <w:color w:val="auto"/>
        </w:rPr>
      </w:pPr>
      <w:r>
        <w:rPr>
          <w:rFonts w:ascii="Times New Roman" w:cs="Times New Roman" w:eastAsia="Times New Roman" w:hAnsi="Times New Roman"/>
          <w:sz w:val="18"/>
          <w:szCs w:val="18"/>
          <w:color w:val="auto"/>
        </w:rPr>
        <w:t>for more of our patients. In addition, we may be unable to enter new payor contracts on favorable terms, or at all. In some cases, our revenue decreases if our volume or reimbursement decreases, but our expenses, including clinician compensation, may not decrease proportionately. Further, as we negotiate and renew payor contracts, we may not be able to secure favorable rates, and may never be able to achieve rate parity with physical healthcare reimbursement. Reimbursement rates determined by our contracts with larger payors have and may continue to have significant impacts on our total revenue per visit and cash flows.</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commercial payor contracts are typically structured as fee-for-service arrangements, pursuant to which we, or our supported practices, collect the fees for patient services. Under these arrangements, we assume financial risks related to changes in the mix of insured and uninsured patients and patients covered by government-sponsored healthcare programs, third-party reimbursement rates and patient volume.</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 portion of our revenue comes from government healthcare programs. Payments from federal and state government programs are subject to statutory and regulatory changes, administrative rulings, interpretations and determinations, requirements for utilization review and federal and state funding restrictions, each of which could increase or decrease program payments, as well as affect the cost of providing services to patients and the timing of payments. We are unable to predict the effect of recent and future policy changes on our operations. These rates are also generally adjusted annually for inflation. However, those adjustments may not reflect actual increases of the cost of providing healthcare services. In addition, the uncertainty and fiscal pressures placed upon federal and state governments as a result of, among other things, deterioration in general economic conditions and the funding requirements from federal healthcare reform legislation, may affect the availability of taxpayer funds for Medicare and Medicaid programs. Changes in government healthcare programs may reduce or delay the reimbursement we receive from them or private payors and could adversely impact our business and results of operations.</w:t>
      </w:r>
    </w:p>
    <w:p>
      <w:pPr>
        <w:spacing w:after="0" w:line="80"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A substantial decrease in patient volume, an increase in the number of uninsured or underinsured patients or an increase in the number of patients covered by government healthcare programs, as opposed to commercial plans that have higher reimbursement levels, could reduce our profitability and adversely impact future growth. In addition, we may be unable to enter new payor contracts on favorable terms, or at all. In some cases, our revenue decreases if our volume or reimbursement decreases, but our expenses, including clinician compensation, may not decrease proportionately.</w:t>
      </w:r>
    </w:p>
    <w:p>
      <w:pPr>
        <w:spacing w:after="0" w:line="5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is also a trend in the healthcare sector of payors shifting to new payment models and value-based care arrangements. Changing legislation and other regulatory and executive developments have led to the creation of new models of care and other initiatives in both the government and private sector. Value-based care incentivizes healthcare providers to improve both the health and well-being of their patients while concurrently managing the medical expenses or “spend” related to a particular population. Value-based care reimbursement models implemented by government healthcare programs or private third-party payors could materially change the manner in which mental health providers are reimbursed. Any failure on our part to adequately implement strategic initiatives to adjust to these marketplace developments could have a material adverse impact on our business.</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 nominal number of our current contracts provide for incremental payments tied to the attainment of quality or performance metrics. If we fail to obtain these metrics in future periods, our revenue may decrease relative to past periods. In addition, we may enter into contracts in the future that may include parallel or full risk sharing for identified populations. These agreements would expose us to significant financial downside in the event that we are not able to improve outcomes and reduce total cost of care for the populations. These contracts may include components of medical spending, increasing the size of potential downside risk relative to traditional fee-for-service mental health spending.</w:t>
      </w:r>
    </w:p>
    <w:p>
      <w:pPr>
        <w:spacing w:after="0" w:line="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grow at the rates we historically have achieved or at all, even if our key metrics may imply future growth, including if we are unable to successfully execute on our growth initiatives and business strategies.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since our inception in 2017. We continually execute a number of growth initiatives, strategies and operating plans designed to enhance our business. For example, our strategy includes recruiting new clinicians, growing our business by opening select de novo centers, building our relationships with payors and developing strategic relationships with other primary care and specialist physicians to offer an integrated care model and acquiring strategic high-quality existing centers. The anticipated benefits from these efforts are based on several assumptions that may prove to be inaccurate. Moreover, we may not be able to successfully complete these growth initiatives, strategies and operating plans and realize all of the benefits, including growth targets, that we expect to achieve, or it may be more costly to do so than we anticipate. For example, we may have increased expenses related to clinician education and licensing, as well as supervising, if we are a first employer for newly recruited clinicians. We may also pivot or delay our growth strategies, which may result in slower rates of net clinician growth or revenue growth compared to prior periods of significant growth.</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Future revenue may not grow at historic rates or may decline. Our future growth will depend, in part, on our ability to attract and retain a sufficient number of qualified clinicians and support personnel, our ability to continue to successfully identify and execute on expansion opportunities, and our ability to demonstrate the value of our platform. A variety of risks could cause us not to realize some or all of these growth plans and benefits. These risks include, among others, labor market dynamics, federal and state antitrust enforcement, delays in the anticipated timing of activities related to such growth initiatives, strategies and operating plans, increased difficulty and cost in implementing these efforts, including difficulties in complying with evolving regulatory requirements, and the incurrence of other unexpected costs associated with operating the business. Moreover, our continued implementation of these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100"/>
        <w:spacing w:after="0" w:line="266" w:lineRule="auto"/>
        <w:rPr>
          <w:sz w:val="20"/>
          <w:szCs w:val="20"/>
          <w:color w:val="auto"/>
        </w:rPr>
      </w:pPr>
      <w:r>
        <w:rPr>
          <w:rFonts w:ascii="Times New Roman" w:cs="Times New Roman" w:eastAsia="Times New Roman" w:hAnsi="Times New Roman"/>
          <w:sz w:val="18"/>
          <w:szCs w:val="18"/>
          <w:color w:val="auto"/>
        </w:rPr>
        <w:t>programs may disrupt our operations and performance. If, for any reason, the benefits we realize are less than our estimates or the implementation of these growth initiatives, strategies and operating plans negatively impacts our operations or costs more or takes longer to effectuate than we expect, or if our assumptions prove inaccurate, our business, results of operations and financial condition may be harmed.</w:t>
      </w:r>
    </w:p>
    <w:p>
      <w:pPr>
        <w:spacing w:after="0" w:line="6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expenses could increase more than expected, our revenue may not increase proportionally or at all, and we may be unable to execute on our business strategy.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significant growth in prior periods has and may continue to put strain on our business, operations and employees. We have also significantly increased the number of patient visits conducted over this period. To manage our current and anticipated future growth effectively, we must continue to maintain and enhance our financial and accounting systems and our IT infrastructure. For example, as we implement our growth strategy, we have made strategic investments in enterprise-level scalable infrastructure, including IT and technology support to continue to facilitate virtual services to patients. If our enterprise-level infrastructure is not aligned with the needs of our clinicians and staff, then we will not be able to realize the full capacity of our services and will not recognize a return on our investment in such infrastructure updates.</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Failure to effectively manage our growth could also lead us to over-invest or under-invest in development and operations, result in or exacerbate weaknesses in our infrastructure, systems or controls, give rise to operational mistakes, financial losses, loss of productivity or business opportunities and result in loss of employees and reduced productivity of remaining employees. Our growth is expected to require significant capital expenditures. As we expand and make related upfront capital expenditures, including leasing new centers, developing our platform, and hiring clinicians within those centers, our margins may be reduced during those periods as we will not recognize patient service revenue until those centers open and begin patient visits. If our management is unable to effectively manage our growth, our expenses may increase more than expected, our revenue may not increase or may grow more slowly than expected and we may be unable to implement our business strategy, which would adversely affect our business, results of operations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for experienced clinicians that may increase labor costs and reduce profitability if we are unable to retain clinicians.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ability to retain and attract qualified clinicians is critical to our ability to provide high quality care to patients and successfully cultivate and maintain strong relationships in the communities we serve. If we cannot recruit and retain our base of experienced and qualified clinicians, our expenses may increase and our revenues may decline.</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we implement actions to reduce attrition and increase hiring of clinicians, we have experienced increases in our labor costs, primarily due to higher wages and greater benefits required to retain and attract qualified healthcare personnel, and such increases may adversely affect our profitability. To attract, train and retain qualified clinicians, we offer competitive compensation and benefit packages (including an equity incentive program), which may continue to require significant investment. These measures may not be enough to attract and retain the personnel we require to operate our business effectively and efficiently. Furthermore, while we attempt to manage overall labor costs in the most efficient way, our efforts to manage them may have limited effectiveness and may lead to increased turnover and other challenges.</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Although none of our employees are currently represented by a union, union organizing campaigns within the healthcare industry appear to be on the rise, and certain changes to federal labor law have made it easier for unions to become certified as the bargaining representative for employees. To the extent a significant portion of our clinicians were to become represented by a union, it is possible our labor costs could increase materially.</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hiring new clinicians involves challenges, including the ability to manage decreased profitability and increased expenses incurred during each clinician’s development and ramp-up period. Rising expenses including wage inflation could adversely affect our ability to attract and retain high-quality clinicians. The substantial management time and resources that our new clinicians require may result in disruption to our existing business operations, which may harm our profitability, and these commitments may be amplified if we continue to recruit a significant number of clinicians early in their careers. Our inability to successfully address these challenges and other factors may adversely affect the quality and profitability of our business operations as we pursue our growth and human capital strategy.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recruit, acquire and retain clinicians.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model requires us to continue to hire clinicians and establish a patient base in order to produce a return on investment. When we enter new markets or expand our presence within existing markets, we may encounter difficulties in attracting new clinicians due to competition and area demographics and may encounter difficulties in attracting new patients due to a lack of patient familiarity with our brand, our lack of familiarity with local patient preferences, and preexisting relationships between patients and clinicians who are not affiliated with our Company. We cannot be certain that we will produce the anticipated revenues or return on investment or that our performance will not be materially adversely affected by new or expanded competition in our market areas.</w:t>
      </w:r>
    </w:p>
    <w:p>
      <w:pPr>
        <w:spacing w:after="0" w:line="7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acquire existing high-quality centers as part of our long-term business strategy and may acquire other companies or technologies, which could divert our management’s attention, result in dilution to our stockholders and otherwise disrupt our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we may have difficulty integrating any such acquisitions successfully or realizing the anticipated benefits therefrom.</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Historically, a part of our business strategy has been the acquisition of existing high-quality centers with in-network payor relationships. We may make acquisitions in the future pursuant to our strategy and may also seek to acquire or invest in businesses or technologies that we believe could complement or expand our business and our platform, enhance our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may not achieve the anticipated benefits from acquired centers due to a number of factors, including, but not limited to:</w:t>
      </w:r>
    </w:p>
    <w:p>
      <w:pPr>
        <w:spacing w:after="0" w:line="117" w:lineRule="exact"/>
        <w:rPr>
          <w:sz w:val="20"/>
          <w:szCs w:val="20"/>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acquisitions;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or migrating accounting systems, operations and personnel of acquired businesses;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matters;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acquisitions.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inability to successfully integrate or realize the anticipated benefits from acquisitions could adversely affect our business, results of operations and financial condition.</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If our acquisitions do not yield expected returns, we may be required to take charges to our results of operations based on this impairment assessment process, which could adversely affect our results of operations.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decide to incur additional debt in connection with an acquisition or issue our common stock or other securities to the equity holders of the acquired business, which would potentially dilute the ownership of our existing stockholders. We cannot predict the number, timing or size of future acquisitions or the effect that any such transactions might have on our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if we are not able to compete effectively, our business and financial performance would be harmed.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market for mental healthcare is competitive. We compete in a highly fragmented market with direct and indirect competitors that offer varying levels of impact to key stakeholders such as patients, clinicians, payor partners, and primary care and other specialist physician partners. Our competitive success is contingent on our ability to address the needs of key stakeholders efficiently and with superior outcomes at scale compared with competitors. We compete across various segments within the mental healthcare market, including with respect to traditional healthcare providers and medical practices, technology platforms, care management and coordination, digital health, telehealth and health information exchange. Competition in our market involves changing technologies, evolving regulatory requirements and industry expectations, and changes in clinician and patient needs. If we are unable to keep pace with the evolving needs of our patients and clinicians and the evolving competitive landscape in a timely and efficient manner, demand for our services may be reduced and our business and financial performance would be harmed.</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Each of the individual geographic areas in which we operate has a different competitive landscape. In each of our markets, we compete with other outpatient mental health providers for patients and in contracting with commercial payors. In addition, we face intense competition from other clinical practices, hospitals, health systems and other outpatient mental health providers in recruiting psychiatrists, APNs, psychologists, therapists, and other healthcare professionals. The inability to attract new clinicians would negatively affect our financial results.</w:t>
      </w:r>
    </w:p>
    <w:p>
      <w:pPr>
        <w:spacing w:after="0" w:line="72"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7"/>
          <w:szCs w:val="17"/>
          <w:color w:val="auto"/>
        </w:rPr>
        <w:t>Our competitors primarily include other outpatient mental health providers that deliver care in-person or through virtual visits. Our indirect competitors also include episodic consumer-driven point solutions, such as in-person and virtual life coaching, digital therapy and support tools and other technologies related to mental healthcare services. In addition to established mental health providers, we may face additional competition from new market entrants, including major retailers that have recently begun to offer in-person and virtual mental healthcare in certain markets. Generally, practices, certain hospitals, and other outpatient mental health providers in the local communities we serve provide services similar to those we offer, and, in some cases, our competitors may offer a broader array of services, more flexible hours or more desirable locations to patients and outpatient mental health providers than ours, and may have larger or more specialized medical staffs to serve patients. Furthermore, healthcare consumers are now able to access patient satisfaction data, as well as standard charges for services, to compare competing outpatient mental health providers; if any of our centers or our supported practices achieve poor results (or results that are lower than our competitors’) on patient satisfaction surveys, or if our standard charges are or are perceived to be higher than our competitors, we may attract fewer patients. Additional quality measures and trends toward clinical or billing transparency, including price transparency rules that require third-party payors to make their pricing information publicly available, may have a negative impact on our competitive position and patient volumes, as patients may prefer to use lower-cost healthcare providers if they deliver services that are perceived to be similar in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0" w:name="page21"/>
    <w:bookmarkEnd w:id="20"/>
    <w:p>
      <w:pPr>
        <w:ind w:right="60"/>
        <w:spacing w:after="0" w:line="282" w:lineRule="auto"/>
        <w:rPr>
          <w:sz w:val="20"/>
          <w:szCs w:val="20"/>
          <w:color w:val="auto"/>
        </w:rPr>
      </w:pPr>
      <w:r>
        <w:rPr>
          <w:rFonts w:ascii="Times New Roman" w:cs="Times New Roman" w:eastAsia="Times New Roman" w:hAnsi="Times New Roman"/>
          <w:sz w:val="18"/>
          <w:szCs w:val="18"/>
          <w:color w:val="auto"/>
        </w:rPr>
        <w:t>quality to ours. Competition from specialized providers, medical practices, retailers, digital health companies and other parties could negatively impact our revenue and market share.</w:t>
      </w:r>
    </w:p>
    <w:p>
      <w:pPr>
        <w:spacing w:after="0" w:line="5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may encounter competitors that have greater name recognition, longer operating histories or more resources than us. Further, our current or potential competitors may be acquired by third parties with greater available resources. As a result, our competitors may be able to respond more quickly and effectively than we can to new or changing opportunities, technologies, standards or patient or clinician requirements and may have the ability to initiate or withstand substantial price competition. In light of these factors, even if our model is more effective than those of our competitors, current or potential patients or clinicians may choose to turn to our competitors. If we are unable to successfully compete in the mental healthcare market, our business and prospects would be materially harmed.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the markets in which we compete achieve our forecasted growth, our business could fail to grow at similar rates, if at all.</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In particular, the size and growth of the overall U.S. mental healthcare market is subject to significant variables, including a changing regulatory environment and population demographics, which can be difficult to measure, estimate or quantify. Estimating and forecasting growth opportunities in any given market are difficult and affected by multiple variables such as population growth, concentration of prospective patients and population density, among other things. Further, we may not be able to sufficiently penetrate certain market segments included in our estimates and forecasts, including due to limited deployable capital, ineffective marketing efforts or the inability to develop sufficient presence in a given market to attract patients or contract with payors or primary care and other specialist physician partners in that market. In addition, increased unemployment may lead to a loss of insurance benefits for patients, negatively impacting their ability to access our services and, in turn, our financial performance. For these reasons, estimates and forecasts relating to the size and expected growth of our target markets may prove to be inaccurate. Even if the markets in which we compete meet our size estimates and forecasted growth, our business could fail to grow at similar rates, if at all.</w:t>
      </w:r>
    </w:p>
    <w:p>
      <w:pPr>
        <w:spacing w:after="0" w:line="8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federal government and several states have enacted laws restricting the amount out-of-network providers of services can charge and recover for such services.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December 2020, in connection with the Consolidated Appropriations Act of 2021, the No Surprises Act introduced protections against surprise billing by providers that became effective on January 1, 2022. The rule created new protections against surprise billing and excessive cost sharing for healthcare consumers and created a dispute resolution process to rectify cost disparities. The provider-specific portions of the Act require providers to submit a good faith estimate to uninsured patients (or patients who will not be submitting claims to their insurer) or to the patient’s insurer and can result in payment disputes if the resulting bill is substantially in excess of said estimate. Additionally, providers are responsible for ensuring accuracy of their provider directories with insurers and can be held responsible for the cost disparity of treatment caused by incorrect provider directory designations. As such, procedural infrastructure is required to ensure compliance with the No Surprises Act and to prevent dispute resolution and resulting noncompliance penalties. This law and any related disputes or non-compliance by us could cause disruptions in the ability for us to receive timely payment or result in penalties and therefore could have a material adverse effect on our business.</w:t>
      </w:r>
    </w:p>
    <w:p>
      <w:pPr>
        <w:spacing w:after="0" w:line="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several states where we conduct business have enacted or are considering similar laws that would apply to patients having state-regulated insurance. For example, Florida, Ohio and Texas have adopted their own balance billing laws that, in certain cases, prohibit out-of-network providers from billing patients in excess of in-network rates. These measures could limit the amount we can charge and recover for services we furnish where we have not contracted with the patient’s insurer, and therefore could have a material adverse effect on our business, financial condition, results of operations and cash flows. Moreover, these measures could affect our ability to contract with certain payors and under historically similar terms and may cause, and the prospect of these changes may cause, payors to terminate their contracts with us and our supported practices, further affecting our business, financial condition, results of operations and cash flows. There is also risk that additional legislation at the federal and state level will give rise to major third-party payors leveraging this legislation or related changes as an opportunity to terminate and renegotiate existing reimbursement rates.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pressures on patients, as well as economic conditions, may adversely affect our patient volume.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be adversely affected by patients’ unwillingness to pay for treatment by our clinicians. Higher numbers of unemployed individuals generally translate into more individuals without healthcare insurance to help pay for services, thereby increasing the potential for persons to elect not to seek treatment if they cannot afford to self-pay. Growth of patient receivables or deterioration in the ability to collect on these accounts, due to changes in economic conditions or otherwise, could have an adverse effect on our business, results of operations and financial condition. In addition, patients with high deductible insurance plans may be less likely to seek treatment as a result of higher expected out-of-pocket costs.</w:t>
      </w:r>
    </w:p>
    <w:p>
      <w:pPr>
        <w:spacing w:after="0" w:line="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receive reimbursement for virtual services that is less than for comparable in-person services, which would negatively impact revenue and results of operations.</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operate in states that have not adopted laws related to parity between reimbursement rates for virtual services and in-person care, as presently less than half of states require reimbursement of payment parity for telehealth. If we are not</w:t>
      </w: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20"/>
        <w:spacing w:after="0" w:line="256" w:lineRule="auto"/>
        <w:rPr>
          <w:sz w:val="20"/>
          <w:szCs w:val="20"/>
          <w:color w:val="auto"/>
        </w:rPr>
      </w:pPr>
      <w:r>
        <w:rPr>
          <w:rFonts w:ascii="Times New Roman" w:cs="Times New Roman" w:eastAsia="Times New Roman" w:hAnsi="Times New Roman"/>
          <w:sz w:val="18"/>
          <w:szCs w:val="18"/>
          <w:color w:val="auto"/>
        </w:rPr>
        <w:t>able to enter into regional payor contracts that provide for reimbursement parity between in-person and virtual services, private payors may not reimburse for virtual services at the same rates as in-person care for all patients within that market. Currently, our reimbursement rates for virtual services and in-person care are substantially similar. This is driven by contractual arrangements with our payor partners or payor policies. If we are not able to enter into or renew payor contracts on these terms or if payor policies change, we may receive reimbursement for virtual services that is less than comparable to in-person services in such states, which would negatively impact our revenue with respect to such markets, and as a result,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or accurately bill for our services could have a negative impact on our patient service revenue, credit losses and cash flow.</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Billing for our services is complex. The practice of providing mental health services in advance of payment or prior to assessing a patient’s ability to pay for such services may have a significant negative impact on our patient service revenue, credit losses and cash flow. We bill numerous and varied payors, including self-pay patients and various forms of commercial insurance providers. Different payors typically have differing forms of billing requirements that must be met prior to receiving payment for services rendered. Self-pay patients and third-party payors may fail to pay for services even if they have been properly billed. Reimbursement to us is typically conditioned on, among other things, our providing the proper procedure and diagnosis codes. Incorrect or incomplete documentation and billing information could result in non-payment for services rendered or reduction in reimbursement. Additional factors that could complicate our billing include variation in coverage for similar services among various payors and the difficulty of adherence to specific compliance requirements, coding and various other procedures mandated by responsible parties. To the extent the complexity associated with billing for our services causes delays in our cash collections, we assume the financial risk of increased carrying costs associated with the aging of our accounts receivable as well as the increased potential for credit losses. In addition, any increase in days sales outstanding could also negatively affect our cash flows.</w:t>
      </w:r>
    </w:p>
    <w:p>
      <w:pPr>
        <w:spacing w:after="0" w:line="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inspections, reviews, audits and investigations under our commercial payor contracts and pursuant to federal and state programs. These audits could have adverse findings that may negatively affect our business, including our results of operations, liquidity, financial condition and reputation.</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various inspections, reviews, audits and investigations to verify our compliance with applicable laws and regulations and any payor-specific requirements. Commercial payors and government programs reserve the right to conduct audits. We also periodically conduct internal audits and reviews of our regulatory compliance. An adverse inspection, review, audit or investigation could result in:</w:t>
      </w:r>
    </w:p>
    <w:p>
      <w:pPr>
        <w:spacing w:after="0" w:line="68" w:lineRule="exact"/>
        <w:rPr>
          <w:sz w:val="20"/>
          <w:szCs w:val="20"/>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refunding amounts we have been paid from payors;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agencies imposing fines, penalties and other sanctions on us;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suspension of payment for new patients to the practice;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decertification or exclusion from participation in one or more payor networks;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self-disclosure of violations to applicable regulatory authorities;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revocation of a clinician’s or a practice’s license;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certain rights under, or termination of, our contracts with commercial payors.</w:t>
      </w:r>
    </w:p>
    <w:p>
      <w:pPr>
        <w:spacing w:after="0" w:line="11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in the past and may in the future be required to refund amounts we have been paid and/or pay fines and penalties as a result of these inspections, reviews, audits and investigations. If adverse inspections, reviews, audits or investigations occur and any of the results noted above occur, it could have a material adverse effect on our business, financial condition and results of operations. Furthermore, the legal, document production and other costs associated with complying with these inspections, reviews, audits or investigations could be significant. In addition, any of these events, whether or not ultimately substantiated, may result in reputational harm that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credentialing our clinicians under our insurance contracts at the time of hire.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responsible for credentialing our existing and new clinicians, and all of our clinicians need to be credentialed, either by us or by a contracted third party. The amount of time and expense required to complete credentialing varies substantially between payor and region and is largely out of our control. Any delay in completing credentialing will result in a delay in clinicians seeing patients and a concomitant delay in generating revenue, which may materially affect our business. We may not be able to delegate credentialing for new centers that we may acquire in the future, which could result in delays in entry to new markets. Any failure of our clinicians to maintain credentials and licenses could result in delays in our ability to deliver care to patients, and therefore adversely affect our reputation and our business. If we are required to cover expenses related to new clinician credentialing in amounts greater than we anticipate, our forecasts for our financial condition and results of operations may not align with management's expectations.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business is dependent on maintaining effective information systems as well as the integrity and timeliness of the data we use to serve our patients, support our clinicians and payor partners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partners regard as significant. If our data were found to be inaccurate or unreliable due to fraud or other error, or if we, or any of the third-party vendors we engage, were to fail to maintain information systems and data integrity effectively, we could experience operational disruptions that may impact our patients and clinicians and hinder our ability to provide care to patients, retain and attract patients, establish reserves, report financial results timely and accurately and maintain regulatory compliance, among other things. Furthermore, as we implement new systems and/or upgrade existing systems, we increase our risk of temporary or prolonged disruptions that could adversely affect our business and we are exposed to increased risk of cybersecurity breaches and failures.</w:t>
      </w:r>
    </w:p>
    <w:p>
      <w:pPr>
        <w:spacing w:after="0" w:line="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information technology strategy and execution are critical to our continued success. We must continue to invest in long-term solutions that will enable us to anticipate patient needs and expectations, enhance the patient experience, act as a differentiator in the market, protect against rapidly changing cybersecurity risks and threats, and keep pace with evolving privacy and security laws, requirements and regulations, including changes in payment regimes such as the PCI DSS. Our success is dependent, in large part, on maintaining the effectiveness of existing technology systems and continuing to deliver and enhance technology systems that support our business processes in a cost-efficient and resource-efficient manner. We have identified certain weaknesses with respect to our IT function. See “—Risks Related to Our Common Stock—We have identified material weaknesses in our internal control over financial reporting and may identify additional material weaknesses in the future or fail to maintain an effective system of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which could harm our business and negatively impact the value of our common stock.”</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Increasing regulatory and legislative changes place additional demands on our information technology infrastructure that could have a direct impact on resources available for other projects tied to our strategic initiatives for our technology platform. In addition, recent trends toward greater patient engagement in healthcare require new and enhanced technologies, including more sophisticated applications for mobile devices. Connectivity among technologies is becoming increasingly important. We and our third-party vendors must also develop new systems to meet current market standards and keep pace with continuing changes in information processing technology, evolving industry and regulatory standards and patient needs. Failure to do so may present compliance challenges and impede our ability to deliver care to patients in a competitive manner. Further, because system development projects are long-term in nature, they may be more costly than expected to complete and may not deliver the expected benefits upon completion. Additional development projects may be needed or arise in the future and we may not have the necessary resources to complete such development projects. Further, the technological advances of our competitors or future competitors may result in our technologies or future technologies becoming uncompetitive or obsolete. Our failure to effectively invest in, implement improvements to and properly maintain the uninterrupted operation and data integrity of our information technology and other business systems could adversely affect our results of operations, financial condition and cash flow. Similarly, if our third party vendors fail to effectively invest in, implement improvements to and properly maintain the uninterrupted operation and data integrity of their own information technology systems, interruptions in their systems or network may result in disruptions of our own systems and business operations.</w:t>
      </w:r>
    </w:p>
    <w:p>
      <w:pPr>
        <w:spacing w:after="0" w:line="7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our ability to provide digital services, including virtual visits, and develop our technology platform would be inhibited.</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license certain rights to use technologies related to our digital services, including virtual visits, patient visit scheduling, patient-clinician matching, and other services, and, in the future, we may identify additional third-party intellectual property that we may need to license in order to engage in our business.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could be adversely affected. Moreover, we could encounter delays and other obstacles in our attempt to develop alternatives.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lease all of our centers and may experience risks relating to lease terminations, lease expense escalators, lease extensions and special charges.</w:t>
      </w:r>
    </w:p>
    <w:p>
      <w:pPr>
        <w:spacing w:after="0" w:line="121" w:lineRule="exact"/>
        <w:rPr>
          <w:sz w:val="20"/>
          <w:szCs w:val="20"/>
          <w:color w:val="auto"/>
        </w:rPr>
      </w:pPr>
    </w:p>
    <w:p>
      <w:pPr>
        <w:jc w:val="both"/>
        <w:ind w:right="180" w:firstLine="509"/>
        <w:spacing w:after="0" w:line="257" w:lineRule="auto"/>
        <w:rPr>
          <w:sz w:val="20"/>
          <w:szCs w:val="20"/>
          <w:color w:val="auto"/>
        </w:rPr>
      </w:pPr>
      <w:r>
        <w:rPr>
          <w:rFonts w:ascii="Times New Roman" w:cs="Times New Roman" w:eastAsia="Times New Roman" w:hAnsi="Times New Roman"/>
          <w:sz w:val="18"/>
          <w:szCs w:val="18"/>
          <w:color w:val="auto"/>
        </w:rPr>
        <w:t>We currently lease all of our centers. Our leases are typically on terms ranging from one to seven years. Each of our leases provides that the lessor may terminate the lease, subject to applicable cure provisions, for a number of reasons, including failure to pay rent as specified or default of terms of the lease that are not cured within a specified notice period including, but not limited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abandonment of the space, use of the space of a purpose not permitted under the lease, failure to maintain the premises in good condition, or creation and maintenance of a nuisance. If a lease agreement is terminated, we may not be able to enter into a new lease agreement on similar or better terms or at all.</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lease obligations often include annual fixed rent escalators ranging between 2% and 3% or variable rent escalators based on a consumer price index. These escalators could impact our ability to satisfy certain obligations and financial covenants and place an additional burden on our results of operations, liquidity and financial condition, particularly if such escalator rates outpace growth in our operating results.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we continue to expand and have leases with different start dates, it is likely that some number of our leases will expire each year. Our lease or license agreements often provide for renewal or extension options. These rights may not be exercised in the future or we may not be able to satisfy the conditions precedent to exercising any such renewal or extension. If we are not able to renew or extend our leases at or prior to the end of the existing lease terms, or if the terms of such options are unfavorable or unacceptable to us, our business, financial condition and results of operations could be adversely affected.</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Leasing centers pursuant to binding lease agreements may limit our ability to exit markets. For instance, if a center subject to a lease becomes unprofitable, we may be required to continue operating such center or, if allowed by the landlord, to close such center, but we may remain obligated for the lease payments on such center. In connection with our real estate optimization initiative, in 2024, we incurred special charges relating to the closing of such centers, including certain gains and losses related to early lease termination of previously abandoned real estate leases, which reduced our profits.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Upon an event of default, remedies available to our landlords generally include, without limitation, terminating such lease agreement, repossessing and reletting the leased properties and requiring us to remain liable for all obligations under such lease agreement, including the difference between the rent under such lease agreement and the rent payable as a result of reletting the leased properties, or requiring us to pay the net present value of the rent due for the balance of the term of such lease agreement. The exercise of such remedies could adversely affect our business, financial condition, results of operations and liquidity.</w:t>
      </w:r>
    </w:p>
    <w:p>
      <w:pPr>
        <w:spacing w:after="0" w:line="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team, and the loss of one or more of our executive officers or key employees or an inability to attract and retain highly skilled employees could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 of our key executive officers. These executive officers are at-will employees and therefore they may terminate employment with us at any time with no advance notice. We also do not maintain any key person life insurance policies. Any transition or loss of the services of any of our executives or highly skilled technical and managerial personnel could have a disruptive impact on our ability to implement our business strategy. In addition, these transitions or departures could cause us to incur increased operating expenses, divert management resources and attention, or otherwise have an adverse effect on our business, internal controls, financial condition or results of operations. Management transition inherently causes some loss of institutional knowledge, which can negatively affect strategy and operation execution during this phase. If we have additional changes to our executives, we may be unable to successfully manage and grow our business, and our results of operations, execution of corporate goals, internal controls and financial condition could suffer as a result. Our business would be harmed if we fail to adequately plan for succession of our executives or if we fail to effectively recruit, integrate, retain and develop key talent and/or align our talent with our business needs.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including in connection with commercial disputes or employment claims, against us could be costly and time-consuming to defend.</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subject, and in the future may become subject from time to time, to legal proceedings, claims and inquiries, such as claims brought by our partners in connection with commercial disputes, consumer class action claims, employment claims made by our current or former employees or other claims or proceedings. For example, on April 26, 2023, a class action litigation captioned </w:t>
      </w:r>
      <w:r>
        <w:rPr>
          <w:rFonts w:ascii="Times New Roman" w:cs="Times New Roman" w:eastAsia="Times New Roman" w:hAnsi="Times New Roman"/>
          <w:sz w:val="18"/>
          <w:szCs w:val="18"/>
          <w:i w:val="1"/>
          <w:iCs w:val="1"/>
          <w:color w:val="auto"/>
        </w:rPr>
        <w:t>Strong v. LifeStance Health Group, Inc.</w:t>
      </w:r>
      <w:r>
        <w:rPr>
          <w:rFonts w:ascii="Times New Roman" w:cs="Times New Roman" w:eastAsia="Times New Roman" w:hAnsi="Times New Roman"/>
          <w:sz w:val="18"/>
          <w:szCs w:val="18"/>
          <w:color w:val="auto"/>
        </w:rPr>
        <w:t xml:space="preserve"> was filed against the Company by a putative class representing users of the Company's website who allege various privacy-related claims premised on the Company's use of pixel technologies on its website.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Litigation may result in substantial costs, settlement and judgments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leading analysts or potential investors to reduce their expectations of our performance, which could reduce the market price of our common stock.</w:t>
      </w:r>
    </w:p>
    <w:p>
      <w:pPr>
        <w:spacing w:after="0" w:line="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may significantly disrupt our business and negatively impact our business, financial condition and results of operations.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centers may be harmed or rendered inoperable by natural or man-made disasters, including earthquakes, hurricanes, power outages, fires, floods, nuclear disasters and acts of terrorism or other criminal activities, which make it difficult or impossible for us to operate our business for some period of time. Although we deliver care in both in-person and digital settings, such disruptions in our operations could negatively impact our business and results of operations and harm our reputation. Although we maintain an insurance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right="100"/>
        <w:spacing w:after="0" w:line="261" w:lineRule="auto"/>
        <w:rPr>
          <w:sz w:val="20"/>
          <w:szCs w:val="20"/>
          <w:color w:val="auto"/>
        </w:rPr>
      </w:pPr>
      <w:r>
        <w:rPr>
          <w:rFonts w:ascii="Times New Roman" w:cs="Times New Roman" w:eastAsia="Times New Roman" w:hAnsi="Times New Roman"/>
          <w:sz w:val="18"/>
          <w:szCs w:val="18"/>
          <w:color w:val="auto"/>
        </w:rPr>
        <w:t>policy covering damage to property we lease, such insurance may not be sufficient to compensate for losses that may occur. Any such losses or damages could harm our business, financial condition and results of operations. In addition, our physician partners’ facilities may be harmed or rendered inoperable by such natural or man-made disasters, which may cause disruptions, difficulties or other negative effects on our business and operations, with respect to our integrated care model.</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clinicians and supported practices may become subject to medical liability claims, which could cause us to incur significant expenses and may require us to pay significant damages if not covered by insurance.</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business entails the risk of medical liability claims against us, our clinicians and our supported practices. Although we, our clinicians and our supported practices carry insurance covering medical malpractice claims in amounts that we believe are appropriate in light of the risks attendant to our business, successful medical liability claims could result in substantial damage awards that exceed the limits of our and our clinicians’ insurance coverage. Our supported practices and clinicians carry professional liability insurance, and we separately carry a professional liability insurance policy, which covers medical malpractice claims. In addition, professional liability insurance is expensive and insurance premiums may increase significantly in the future, particularly as we expand our services. As a result, adequate professional liability insurance may not be available to our clinicians, our supported practices or to us in the future at acceptable costs or at all.</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Any claims made against us that are not fully covered by insurance could be costly to defend against, result in substantial damage awards against us and divert the attention of our management and our affiliated medical group from our operations, which could have a material adverse effect on our business, financial condition and results of operations. In addition, any claims may adversely affect our business or reputation.</w:t>
      </w:r>
    </w:p>
    <w:p>
      <w:pPr>
        <w:spacing w:after="0" w:line="6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cost-effectively develop widespread brand awareness and maintain our reputation, or if we fail to achieve and maintain market acceptance for our mental health services, our business could suffer.</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and maintaining our reputation for delivering high-quality care to patients is important to attract new patients and clinicians and maintain existing patients and clinicians. In addition, we have a growing number of strategic relationships with primary care and other specialist physician partners to develop our integrated care model and referral networks. Market acceptance of our services and patient acquisition depends on educating people, as well as payors and partners, as to the distinct features, ease-of-use, positive lifestyle impact, efficacy, quality and other perceived benefits of our platform as compared to alternatives. In particular, market acceptance is dependent on our ability to sufficiently saturate a particular geographic area to deliver care to local patients. The level of saturation required depends on the needs of the local market and the preferences of the patients in that market. Further, we rely on referrals and placed advertisements to spread brand awareness. Referrals are dependent on patients relaying positive experiences with our services and clinicians. If we are not successful in demonstrating to existing and potential patients, clinicians and payors the benefits of our platform, if we are not able to sufficiently saturate a market in convenient locations for patients, or if we are not able to achieve the support of payors and physician partners for our model and services, we could experience lower than expected patient retention. Further, the loss or dissatisfaction of patients or clinicians may substantially harm our brand and reputation, inhibit widespread adoption of our services, reduce our revenue, and impair our ability to attract or retain patients and clinicians.</w:t>
      </w:r>
    </w:p>
    <w:p>
      <w:pPr>
        <w:spacing w:after="0" w:line="8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brand promotion activities may not generate awareness or increase revenue and, even if they do, any increase in revenue may not offset the expenses we incur in building our brand. If we fail to successfully promote and maintain our brand, we may fail to attract or retain patients, clinicians, payors and physician partners necessary to realize a sufficient return on our brand-building efforts or to achieve the widespread brand awareness we seek.</w:t>
      </w:r>
    </w:p>
    <w:p>
      <w:pPr>
        <w:spacing w:after="0" w:line="6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patients and clinicians.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third-party rights, we may not be able to use these trademarks to develop brand recognition of our technology platform or other services. In addition, there could be potential trade name or trademark infringement claims brought by owners of other registered trademarks or trademarks that incorporate variations of our registered or unregistered trademarks or trade names. If we are unable to establish or protect our trademarks and trade names, or if we are unable to build name recognition based on our trademarks and trade names, we may not be able to compete effectively, which could harm our competitive position, business, financial condition, results of operations and prospects.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which could adversely impact the value of our common stock.</w:t>
      </w:r>
    </w:p>
    <w:p>
      <w:pPr>
        <w:spacing w:after="0" w:line="121" w:lineRule="exact"/>
        <w:rPr>
          <w:sz w:val="20"/>
          <w:szCs w:val="20"/>
          <w:color w:val="auto"/>
        </w:rPr>
      </w:pPr>
    </w:p>
    <w:p>
      <w:pPr>
        <w:ind w:right="760" w:firstLine="509"/>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have varied and may vary significantly in the future, and period-to-period comparisons of our results of operations may not be meaningful. Accordingly, our quarterly results should not be relied upon as an indication of future</w:t>
      </w: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220"/>
        <w:spacing w:after="0" w:line="282" w:lineRule="auto"/>
        <w:rPr>
          <w:sz w:val="20"/>
          <w:szCs w:val="20"/>
          <w:color w:val="auto"/>
        </w:rPr>
      </w:pPr>
      <w:r>
        <w:rPr>
          <w:rFonts w:ascii="Times New Roman" w:cs="Times New Roman" w:eastAsia="Times New Roman" w:hAnsi="Times New Roman"/>
          <w:sz w:val="18"/>
          <w:szCs w:val="18"/>
          <w:color w:val="auto"/>
        </w:rPr>
        <w:t>performance. Our quarterly financial results may fluctuate as a result of a variety of factors, many of which are outside of our control, including, without limitation, the following:</w:t>
      </w:r>
    </w:p>
    <w:p>
      <w:pPr>
        <w:spacing w:after="0" w:line="54" w:lineRule="exact"/>
        <w:rPr>
          <w:sz w:val="20"/>
          <w:szCs w:val="20"/>
          <w:color w:val="auto"/>
        </w:rPr>
      </w:pPr>
    </w:p>
    <w:p>
      <w:pPr>
        <w:ind w:left="1140" w:right="40" w:hanging="369"/>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contracts with, or modification of contract terms with, payors, including the reduction of reimbursement rates for our services or the termination of our network contracts with payors;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unemployment rates and economic conditions, which could result in reductions in patient visits;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recognition of revenue;</w:t>
      </w:r>
    </w:p>
    <w:p>
      <w:pPr>
        <w:spacing w:after="0" w:line="117" w:lineRule="exact"/>
        <w:rPr>
          <w:rFonts w:ascii="Times New Roman" w:cs="Times New Roman" w:eastAsia="Times New Roman" w:hAnsi="Times New Roman"/>
          <w:sz w:val="18"/>
          <w:szCs w:val="18"/>
          <w:color w:val="auto"/>
        </w:rPr>
      </w:pPr>
    </w:p>
    <w:p>
      <w:pPr>
        <w:ind w:left="1140" w:right="480" w:hanging="369"/>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including upfront capital expenditures and other costs related to expanding in existing markets or entering new markets, as well as providing administrative and operations support services to our supported practices under our management contracts;</w:t>
      </w:r>
    </w:p>
    <w:p>
      <w:pPr>
        <w:spacing w:after="0" w:line="67" w:lineRule="exact"/>
        <w:rPr>
          <w:rFonts w:ascii="Times New Roman" w:cs="Times New Roman" w:eastAsia="Times New Roman" w:hAnsi="Times New Roman"/>
          <w:sz w:val="18"/>
          <w:szCs w:val="18"/>
          <w:color w:val="auto"/>
        </w:rPr>
      </w:pPr>
    </w:p>
    <w:p>
      <w:pPr>
        <w:ind w:left="1140" w:right="600" w:hanging="369"/>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size and composition of our clinician base relative to the level of demand for services from our patients;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17" w:lineRule="exact"/>
        <w:rPr>
          <w:rFonts w:ascii="Times New Roman" w:cs="Times New Roman" w:eastAsia="Times New Roman" w:hAnsi="Times New Roman"/>
          <w:sz w:val="18"/>
          <w:szCs w:val="18"/>
          <w:color w:val="auto"/>
        </w:rPr>
      </w:pPr>
    </w:p>
    <w:p>
      <w:pPr>
        <w:ind w:left="1140" w:right="60" w:hanging="369"/>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acquisition or other expansion opportunities and potential future charges for impairment of goodwill from acquired practices; and</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business days in the quarter.</w:t>
      </w:r>
    </w:p>
    <w:p>
      <w:pPr>
        <w:spacing w:after="0" w:line="11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execute our growth strategy in the future could reduce our ability to compete successfully and harm our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ability to incur additional indebtedness, force us to maintain specified liquidity or other ratios or restrict our ability to pay dividends or make acquisitions. In addition, the covenants in the Credit Agreement among LifeStance Health Holdings, Inc., Lynnwood Intermediate Holdings, Inc., Capital One, National Association, and each lender party thereto, dated December 19, 2024 (the “2024 Credit Agreement”), limits our ability to obtain additional debt, and any failure to adhere to these covenants would result in penalties or defaults that could further restrict our liquidity or limit our ability to obtain financing. If we need additional capital and cannot raise it on acceptable terms, or at all, we may not be able to, among other things:</w:t>
      </w:r>
    </w:p>
    <w:p>
      <w:pPr>
        <w:spacing w:after="0" w:line="84" w:lineRule="exact"/>
        <w:rPr>
          <w:sz w:val="20"/>
          <w:szCs w:val="20"/>
          <w:color w:val="auto"/>
        </w:rPr>
      </w:pPr>
    </w:p>
    <w:p>
      <w:pPr>
        <w:ind w:left="1140" w:hanging="36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organization;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clinicians and other employees;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a result, failure to raise additional capital or generate cash flows necessary to execute our growth strategy in the future could reduce our ability to compete successfully and harm our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and Data Privacy Regulation</w:t>
      </w:r>
    </w:p>
    <w:p>
      <w:pPr>
        <w:spacing w:after="0" w:line="11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w:t>
      </w:r>
    </w:p>
    <w:p>
      <w:pPr>
        <w:spacing w:after="0" w:line="67"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The U.S. healthcare industry is heavily regulated and closely scrutinized by federal and state governments. Comprehensive statutes and regulations govern the manner in which we provide and bill for services and collect reimbursement from governmental programs and private payors, our contractual relationships with supported clinicians, vendors and patients, our marketing activities and other aspects of our operations. Of particular importance are:</w:t>
      </w:r>
    </w:p>
    <w:p>
      <w:pPr>
        <w:spacing w:after="0" w:line="50" w:lineRule="exact"/>
        <w:rPr>
          <w:sz w:val="20"/>
          <w:szCs w:val="20"/>
          <w:color w:val="auto"/>
        </w:rPr>
      </w:pPr>
    </w:p>
    <w:p>
      <w:pPr>
        <w:ind w:left="1140" w:right="40" w:hanging="369"/>
        <w:spacing w:after="0" w:line="272"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Ethics in Patient Referrals Act, commonly referred to as the Stark Law, that, unless one of the statutory or regulatory exceptions apply, prohibits physicians from referring Medicare or Medicaid patients to an entity for the provision of certain “designated health services” if the physician or a member of such physician’s immediate family has a direct or indirect financial relationship (including an</w:t>
      </w:r>
    </w:p>
    <w:p>
      <w:pPr>
        <w:spacing w:after="0" w:line="2" w:lineRule="exact"/>
        <w:rPr>
          <w:sz w:val="20"/>
          <w:szCs w:val="20"/>
          <w:color w:val="auto"/>
        </w:rPr>
      </w:pPr>
    </w:p>
    <w:p>
      <w:pPr>
        <w:ind w:left="1140" w:right="120"/>
        <w:spacing w:after="0" w:line="250" w:lineRule="auto"/>
        <w:rPr>
          <w:sz w:val="20"/>
          <w:szCs w:val="20"/>
          <w:color w:val="auto"/>
        </w:rPr>
      </w:pPr>
      <w:r>
        <w:rPr>
          <w:rFonts w:ascii="Times New Roman" w:cs="Times New Roman" w:eastAsia="Times New Roman" w:hAnsi="Times New Roman"/>
          <w:sz w:val="18"/>
          <w:szCs w:val="18"/>
          <w:color w:val="auto"/>
        </w:rPr>
        <w:t>ownership interest or a compensation arrangement) with the entity, and prohibit the entity from billing Medicare or Medicaid for such designated health services. Sanctions for violating the Stark Law include denial of payment, civil monetary penalties of up to $30,868 per claim submitted and exclusion from the federal healthcare programs. Failure to refund amounts received as a result of a prohibited referral 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left="369" w:right="280"/>
        <w:spacing w:after="0" w:line="282" w:lineRule="auto"/>
        <w:rPr>
          <w:sz w:val="20"/>
          <w:szCs w:val="20"/>
          <w:color w:val="auto"/>
        </w:rPr>
      </w:pPr>
      <w:r>
        <w:rPr>
          <w:rFonts w:ascii="Times New Roman" w:cs="Times New Roman" w:eastAsia="Times New Roman" w:hAnsi="Times New Roman"/>
          <w:sz w:val="18"/>
          <w:szCs w:val="18"/>
          <w:color w:val="auto"/>
        </w:rPr>
        <w:t>a timely basis may constitute a false or fraudulent claim and may result in civil penalties and additional penalties under the False Claims Act. The statute also provides for a penalty of up to $205,799 for a circumvention scheme;</w:t>
      </w:r>
    </w:p>
    <w:p>
      <w:pPr>
        <w:spacing w:after="0" w:line="54" w:lineRule="exact"/>
        <w:rPr>
          <w:sz w:val="20"/>
          <w:szCs w:val="20"/>
          <w:color w:val="auto"/>
        </w:rPr>
      </w:pPr>
    </w:p>
    <w:p>
      <w:pPr>
        <w:ind w:left="369" w:hanging="369"/>
        <w:spacing w:after="0" w:line="253"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has been interpreted broadly to be anything of value, and could include compensation, discounts or free marketing services.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$124,732 for each violation, plus up to three times the remuneration involved. Civil penalties for such conduct can further be assessed under the federal False Claims Act. Violations can also result in criminal penalties and imprisonment. Similarly, violations can result in exclusion from participation in government healthcare programs, including Medicare and Medicaid. We expect the OIG to issue new regulations adding and modifying safe harbors and to issue new fraud alerts covering the latest conduct that OIG finds problematic;</w:t>
      </w:r>
    </w:p>
    <w:p>
      <w:pPr>
        <w:spacing w:after="0" w:line="81" w:lineRule="exact"/>
        <w:rPr>
          <w:rFonts w:ascii="Times New Roman" w:cs="Times New Roman" w:eastAsia="Times New Roman" w:hAnsi="Times New Roman"/>
          <w:sz w:val="18"/>
          <w:szCs w:val="18"/>
          <w:color w:val="auto"/>
        </w:rPr>
      </w:pPr>
    </w:p>
    <w:p>
      <w:pPr>
        <w:ind w:left="369" w:right="100" w:hanging="369"/>
        <w:spacing w:after="0" w:line="255"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21st Century Cures Act, the HHS Office of the National Coordinator for Health Information Technology (“ONC”) has issued rules designed to drive interoperability, prohibit information blocking, and provide timely access to health information through standardized application programming interfaces. Under these rules, healthcare providers, developers of health information technology certified by the federal government, and health information exchanges and networks are prohibited from engaging in “information blocking” activities that interfere with legally permissible access, exchange, or use of electronic health information. If OIG determines that an individual or entity has engaged in information blocking, such individual or entity may be subject to penalties of up to $1,000,000 per violation. Enforcement of the information blocking penalties began on September 1, 2023;</w:t>
      </w:r>
    </w:p>
    <w:p>
      <w:pPr>
        <w:spacing w:after="0" w:line="80" w:lineRule="exact"/>
        <w:rPr>
          <w:rFonts w:ascii="Times New Roman" w:cs="Times New Roman" w:eastAsia="Times New Roman" w:hAnsi="Times New Roman"/>
          <w:sz w:val="18"/>
          <w:szCs w:val="18"/>
          <w:color w:val="auto"/>
        </w:rPr>
      </w:pPr>
    </w:p>
    <w:p>
      <w:pPr>
        <w:ind w:left="369" w:right="60" w:hanging="369"/>
        <w:spacing w:after="0" w:line="258"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healthcare fraud provisions of HIPAA, as amended by HITECH, and their implementing regulations, which we collectively refer to as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369" w:right="120" w:hanging="369"/>
        <w:spacing w:after="0" w:line="261"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also imposes certain regulatory and contractual requirements regarding the privacy, security and transmission of PHI, and similar state laws that impose further requirements on the protection of the privacy and security of medical and health information beyond what may be considered PHI under federal standards. The Office for Civil Rights has continued its enforcement against entities utilizing tracking technologies in violation of HIPAA;</w:t>
      </w:r>
    </w:p>
    <w:p>
      <w:pPr>
        <w:spacing w:after="0" w:line="71" w:lineRule="exact"/>
        <w:rPr>
          <w:rFonts w:ascii="Times New Roman" w:cs="Times New Roman" w:eastAsia="Times New Roman" w:hAnsi="Times New Roman"/>
          <w:sz w:val="18"/>
          <w:szCs w:val="18"/>
          <w:color w:val="auto"/>
        </w:rPr>
      </w:pPr>
    </w:p>
    <w:p>
      <w:pPr>
        <w:jc w:val="both"/>
        <w:ind w:left="369" w:right="260" w:hanging="369"/>
        <w:spacing w:after="0" w:line="266"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that imposes civil and criminal liability on individuals or entities that knowingly submit false or fraudulent claims for payment to the government or knowingly making, or causing to be made, a false statement in order to have a false claim paid, including qui tam or whistleblower suits;</w:t>
      </w:r>
    </w:p>
    <w:p>
      <w:pPr>
        <w:spacing w:after="0" w:line="67" w:lineRule="exact"/>
        <w:rPr>
          <w:rFonts w:ascii="Times New Roman" w:cs="Times New Roman" w:eastAsia="Times New Roman" w:hAnsi="Times New Roman"/>
          <w:sz w:val="18"/>
          <w:szCs w:val="18"/>
          <w:color w:val="auto"/>
        </w:rPr>
      </w:pPr>
    </w:p>
    <w:p>
      <w:pPr>
        <w:ind w:left="369" w:right="440" w:hanging="369"/>
        <w:spacing w:after="0" w:line="289" w:lineRule="auto"/>
        <w:tabs>
          <w:tab w:leader="none" w:pos="36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49" w:lineRule="exact"/>
        <w:rPr>
          <w:rFonts w:ascii="Times New Roman" w:cs="Times New Roman" w:eastAsia="Times New Roman" w:hAnsi="Times New Roman"/>
          <w:sz w:val="17"/>
          <w:szCs w:val="17"/>
          <w:color w:val="auto"/>
        </w:rPr>
      </w:pPr>
    </w:p>
    <w:p>
      <w:pPr>
        <w:ind w:left="369" w:right="560" w:hanging="369"/>
        <w:spacing w:after="0" w:line="282"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reassignment of payment rules that prohibit certain types of billing and collection practices in connection with claims payable by the Medicare or Medicaid programs;</w:t>
      </w:r>
    </w:p>
    <w:p>
      <w:pPr>
        <w:spacing w:after="0" w:line="53" w:lineRule="exact"/>
        <w:rPr>
          <w:rFonts w:ascii="Times New Roman" w:cs="Times New Roman" w:eastAsia="Times New Roman" w:hAnsi="Times New Roman"/>
          <w:sz w:val="18"/>
          <w:szCs w:val="18"/>
          <w:color w:val="auto"/>
        </w:rPr>
      </w:pPr>
    </w:p>
    <w:p>
      <w:pPr>
        <w:ind w:left="369" w:right="40" w:hanging="369"/>
        <w:spacing w:after="0" w:line="282"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law provisions pertaining to Anti-Kickback, self-referral and false claims issues, some of which may apply to items or services reimbursed by any third-party payor, including commercial insurers or services paid out-of-pocket by patients;</w:t>
      </w:r>
    </w:p>
    <w:p>
      <w:pPr>
        <w:spacing w:after="0" w:line="53" w:lineRule="exact"/>
        <w:rPr>
          <w:rFonts w:ascii="Times New Roman" w:cs="Times New Roman" w:eastAsia="Times New Roman" w:hAnsi="Times New Roman"/>
          <w:sz w:val="18"/>
          <w:szCs w:val="18"/>
          <w:color w:val="auto"/>
        </w:rPr>
      </w:pPr>
    </w:p>
    <w:p>
      <w:pPr>
        <w:ind w:left="369" w:right="300" w:hanging="369"/>
        <w:spacing w:after="0" w:line="282"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general business corporations, such as us, from practicing medicine, controlling physicians’ medical decisions or engaging in some practices such as splitting fees with physicians and psychologists;</w:t>
      </w:r>
    </w:p>
    <w:p>
      <w:pPr>
        <w:spacing w:after="0" w:line="53" w:lineRule="exact"/>
        <w:rPr>
          <w:rFonts w:ascii="Times New Roman" w:cs="Times New Roman" w:eastAsia="Times New Roman" w:hAnsi="Times New Roman"/>
          <w:sz w:val="18"/>
          <w:szCs w:val="18"/>
          <w:color w:val="auto"/>
        </w:rPr>
      </w:pPr>
    </w:p>
    <w:p>
      <w:pPr>
        <w:ind w:left="369" w:right="280" w:hanging="369"/>
        <w:spacing w:after="0" w:line="282" w:lineRule="auto"/>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federal and state antitrust, consumer protection, privacy, cybersecurity, advertisement and unfair competition laws, which broadly regulate marketplace activities and activities that could potentially harm consumers;</w:t>
      </w:r>
    </w:p>
    <w:p>
      <w:pPr>
        <w:spacing w:after="0" w:line="53" w:lineRule="exact"/>
        <w:rPr>
          <w:rFonts w:ascii="Times New Roman" w:cs="Times New Roman" w:eastAsia="Times New Roman" w:hAnsi="Times New Roman"/>
          <w:sz w:val="18"/>
          <w:szCs w:val="18"/>
          <w:color w:val="auto"/>
        </w:rPr>
      </w:pPr>
    </w:p>
    <w:p>
      <w:pPr>
        <w:ind w:left="369" w:hanging="369"/>
        <w:spacing w:after="0"/>
        <w:tabs>
          <w:tab w:leader="none" w:pos="3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regulate debt collection practices as applied to our debt collection practices;</w:t>
      </w:r>
    </w:p>
    <w:p>
      <w:pPr>
        <w:spacing w:after="0" w:line="27" w:lineRule="exact"/>
        <w:rPr>
          <w:sz w:val="20"/>
          <w:szCs w:val="20"/>
          <w:color w:val="auto"/>
        </w:rPr>
      </w:pPr>
    </w:p>
    <w:p>
      <w:pPr>
        <w:ind w:left="476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473075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9"/>
          </w:cols>
          <w:pgMar w:left="1091" w:top="1093" w:right="339" w:bottom="1440" w:gutter="0" w:footer="0" w:header="0"/>
        </w:sectPr>
      </w:pPr>
    </w:p>
    <w:bookmarkStart w:id="27" w:name="page28"/>
    <w:bookmarkEnd w:id="27"/>
    <w:p>
      <w:pPr>
        <w:ind w:left="1140" w:right="66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Social Security Act that imposes criminal penalties on healthcare providers who fail to disclose or refund known overpayments;</w:t>
      </w:r>
    </w:p>
    <w:p>
      <w:pPr>
        <w:spacing w:after="0" w:line="53" w:lineRule="exact"/>
        <w:rPr>
          <w:rFonts w:ascii="Times New Roman" w:cs="Times New Roman" w:eastAsia="Times New Roman" w:hAnsi="Times New Roman"/>
          <w:sz w:val="18"/>
          <w:szCs w:val="18"/>
          <w:color w:val="auto"/>
        </w:rPr>
      </w:pPr>
    </w:p>
    <w:p>
      <w:pPr>
        <w:ind w:left="1140" w:right="40" w:hanging="369"/>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67" w:lineRule="exact"/>
        <w:rPr>
          <w:rFonts w:ascii="Times New Roman" w:cs="Times New Roman" w:eastAsia="Times New Roman" w:hAnsi="Times New Roman"/>
          <w:sz w:val="18"/>
          <w:szCs w:val="18"/>
          <w:color w:val="auto"/>
        </w:rPr>
      </w:pPr>
    </w:p>
    <w:p>
      <w:pPr>
        <w:ind w:left="1140" w:right="46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employing or contracting with individuals or entities that are sanctioned or excluded from participation in government healthcare programs;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policies related to the prescribing and dispensing of pharmaceuticals and controlled substances;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Substance Abuse Confidentiality Regulations known as 42 C.F.R. Part 2;</w:t>
      </w:r>
    </w:p>
    <w:p>
      <w:pPr>
        <w:spacing w:after="0" w:line="117" w:lineRule="exact"/>
        <w:rPr>
          <w:rFonts w:ascii="Times New Roman" w:cs="Times New Roman" w:eastAsia="Times New Roman" w:hAnsi="Times New Roman"/>
          <w:sz w:val="18"/>
          <w:szCs w:val="18"/>
          <w:color w:val="auto"/>
        </w:rPr>
      </w:pPr>
    </w:p>
    <w:p>
      <w:pPr>
        <w:ind w:left="1140" w:right="44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Appropriations Act of 2021, the No Surprises Act, regarding which the Centers for Medicare and Medicaid Services continue to issue proposed rules and updates;</w:t>
      </w:r>
    </w:p>
    <w:p>
      <w:pPr>
        <w:spacing w:after="0" w:line="53" w:lineRule="exact"/>
        <w:rPr>
          <w:rFonts w:ascii="Times New Roman" w:cs="Times New Roman" w:eastAsia="Times New Roman" w:hAnsi="Times New Roman"/>
          <w:sz w:val="18"/>
          <w:szCs w:val="18"/>
          <w:color w:val="auto"/>
        </w:rPr>
      </w:pPr>
    </w:p>
    <w:p>
      <w:pPr>
        <w:ind w:left="1140" w:right="40" w:hanging="369"/>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policies that require healthcare providers to maintain licensure, certification or accreditation to provide physician and other professional services, to enroll and participate in the Medicare and Medicaid programs, to report certain changes in their operations to the agencies that administer these programs, as well as state insurance laws;</w:t>
      </w:r>
    </w:p>
    <w:p>
      <w:pPr>
        <w:spacing w:after="0" w:line="67" w:lineRule="exact"/>
        <w:rPr>
          <w:rFonts w:ascii="Times New Roman" w:cs="Times New Roman" w:eastAsia="Times New Roman" w:hAnsi="Times New Roman"/>
          <w:sz w:val="18"/>
          <w:szCs w:val="18"/>
          <w:color w:val="auto"/>
        </w:rPr>
      </w:pPr>
    </w:p>
    <w:p>
      <w:pPr>
        <w:ind w:left="1140" w:right="36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the review of healthcare transactions, which often involve in-depth notice and review requirements necessitating significant time and resources to ensure compliance; and</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statutes and regulations that govern workplace health and safety.</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frequent updates,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and updates.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To enforce compliance with the federal laws, the U.S. Department of Justice and the OIG have continued their scrutiny of healthcare providers, which has led to a number of investigations, prosecutions, convictions and settlements in the healthcare industry. Dealing with investigations can be time-and resource-consuming and can divert management’s attention from the business. Any such investigation or settlement could increase our costs or otherwise have an adverse effect on our business. In addition, because of the potential for large monetary exposure under the federal False Claims Act, which provides for treble damages and mandatory minimum penalties of $13,946 to $27,894 per false claim or statement, healthcare providers often resolve allegations without admissions of liability for significant and material amounts to avoid the uncertainty of treble damages that may be awarded in litigation proceedings. Such settlements often contain additional compliance and reporting requirements as part of a consent decree, settlement agreement or corporate integrity agreement. Given the significant size of actual and potential settlements, it is expected that the government will continue to devote substantial resources to investigating healthcare providers’ compliance with the healthcare reimbursement rules and fraud and abuse laws.</w:t>
      </w:r>
    </w:p>
    <w:p>
      <w:pPr>
        <w:spacing w:after="0" w:line="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and may in the future be, a party to various lawsuits, demands, claims,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governmental investigations and audits (including investigations or other actions resulting from our obligation to self-report suspected violations of law) and other legal matters, any of which could result in, among other things, substantial financial penalties or awards against us, mandated refunds, substantial payments made by us, required changes to our business practices, exclusion from future participation in Medicare, Medicaid and other healthcare programs and possible criminal penalties, any of which could have a material adverse effect on our business, results of operations, financial condition and cash flows and materially harm our reputation.</w:t>
      </w:r>
    </w:p>
    <w:p>
      <w:pPr>
        <w:spacing w:after="0" w:line="77"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healthcare are evolving and our ability to provide virtual service across regions could be hampered.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and our ability to provide virtual services in certain jurisdictions. Areas of government regulation that, if changed, could be costly to us include: rules governing the practice of medicine by physicians and the practice of other licensed professions; laws relating to licensure requirements for psychiatrists and other licensed mental health professionals; laws limiting the corporate practice of medicine and professional fee-splitting; laws governing the issuance of prescriptions in an online setting; federal and state antitrust laws that affect healthcare providers; cybersecurity and privacy laws; and laws and rules relating to the distinction between independent contractors and employees.</w:t>
      </w:r>
    </w:p>
    <w:p>
      <w:pPr>
        <w:spacing w:after="0" w:line="8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a number of states have imposed different, and, in some cases, additional, standards regarding the provision of services virtually. The unpredictability of this regulatory landscape means that sudden changes in policy regarding standards of care and reimbursement are possible. If a successful legal challenge or an adverse change in the relevant laws were to occur, and we were unable to adapt our business model accordingly, our operations in the affected jurisdictions would be disrupted, which could have a material adverse effect on our business, financial condition and results of operations. If we are required to adapt our business model, we may be limited to only in-person services, which may have a material adverse effect on our business, financial condition and results of operations.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Several states in which we operate have adopted competition and healthcare planning laws that affect transactions in the healthcare industry, including California, Illinois, Indiana, Massachusetts, Minnesota, Nevada, New York, Oregon, and Washington, and states generally continue to propose such laws. Some states require notification, filings, and/or approvals by state agencies with respect to proposed transactions involving healthcare providers. Such processes can take significant time, require filing fees, result in conditions that require certain operational changes and include regular annual reviews regarding the cost and quality of services, among other topics. For example, California's law requires at least 90-days advance notification to the Office of Health Care Affordability within the state Department of Health Care Services of certain proposed transactions and require extensive documentation in connection with the submission of documents. These laws and the level of enforcement by the respective state agencies are subject to continuous change and interpretation, and compliance with these laws could adversely affect our business.</w:t>
      </w:r>
    </w:p>
    <w:p>
      <w:pPr>
        <w:spacing w:after="0" w:line="8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supported practices, which we do not own, to provide healthcare services, and our business would be harmed if those relationships were disrupted or if our arrangements with these entities became subject to legal challenges.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corporate practice of medicine prohibition exists in some form, by statute, regulation, board of medicine or attorney general guidance, or case law, in certain of the states in which we operate. These laws generally prohibit the practice of medicine or practice of psychology by lay-persons or entities and are intended to prevent unlicensed persons or entities from interfering with or inappropriately influencing providers’ professional judgment. Due to the prevalence of the corporate practice of medicine doctrine, including in certain of the states where we conduct our business, we enter into management services contracts with our supported practices to provide a wide range of administrative and operations support services to these practices. Under the management contracts between LifeStance and each supported practice, we provide various administrative and management services in exchange for management fees set forth in our management services contracts. To the extent our ability to receive cash fees from the supported practices is limited, our ability to use that cash for growth, debt service or other uses may be impaired and, as a result, our results of operations and financial condition may be adversely affected. In addition, the supported practices are owned by our Chief Medical Officer and other licensed clinical leadership employees. In the event of any such employee’s death or disability or upon certain other triggering events, we maintain the right to direct the transfer of the ownership of the supported practices to another licensed physician.</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ability to perform medical and virtual services in a particular U.S. state is directly dependent upon the applicable laws governing the practice of medicine or other professions, healthcare delivery and fee splitting in such locations, which are subject to changing political, regulatory and other influences. The extent to which a U.S. state considers particular actions or relationships to constitute the practice of medicine or other professions is subject to change and to evolving interpretations by professional boards and state attorneys general, among others, each of which has broad discretion. There is a risk that U.S. state authorities in some jurisdictions may find that our contractual relationships with outpatient mental health practices, which govern the provision of medical and virtual services and the payment of administrative and operations support fees, violate laws prohibiting the corporate practice of medicine or other professions and fee-splitting. And lawsuits alleging violation of such state doctrines are not uncommon—in 2024, a case against a national emergency physician staffing company in California challenging a model of operation similar to our own was voluntarily dismissed without a decision after the company elected to exit the California market, resulting in the state's loss of jurisdiction. The extent to which each state may consider particular actions or contractual relationships to constitute improper influence of professional judgment varies across the states and is subject to change and to evolving interpretations by state licensing boards and state attorneys general, among others. Accordingly, we must monitor our compliance with laws in every jurisdiction in which we operate on an ongoing basis. Our activities and arrangements, if challenged, could be found to be in violation with the law. Additionally, it is possible that the laws and rules governing the practice of medicine or other professions, including the provision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right="20"/>
        <w:spacing w:after="0" w:line="254" w:lineRule="auto"/>
        <w:rPr>
          <w:sz w:val="20"/>
          <w:szCs w:val="20"/>
          <w:color w:val="auto"/>
        </w:rPr>
      </w:pPr>
      <w:r>
        <w:rPr>
          <w:rFonts w:ascii="Times New Roman" w:cs="Times New Roman" w:eastAsia="Times New Roman" w:hAnsi="Times New Roman"/>
          <w:sz w:val="18"/>
          <w:szCs w:val="18"/>
          <w:color w:val="auto"/>
        </w:rPr>
        <w:t>virtual services, and fee splitting in one or more jurisdictions may change in a manner adverse to our business. While the management contracts prohibit us from controlling, influencing or otherwise interfering with the practice of medicine and other professions by the supported clinicians, and provide that clinicians retain exclusive control and responsibility for all aspects of the practice of medicine or other professions and the delivery of clinical services, there can be no assurance that our contractual arrangements and activities with supported practices will be free from scrutiny from U.S. state authorities, and we cannot guarantee that subsequent interpretation of the corporate practice and fee-splitting laws will not circumscribe our business operations. State corporate practice doctrines also often impose penalties on healthcare clinicians themselves for aiding the corporate practice of medicine or other professions, which could discourage clinicians from participating in our network. If a successful legal challenge or an adverse change in relevant laws were to occur, and we were unable to adapt our business model accordingly, our operations in affected jurisdictions would be disrupted, which could harm our business.</w:t>
      </w:r>
    </w:p>
    <w:p>
      <w:pPr>
        <w:spacing w:after="0" w:line="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While we expect that our relationships with our supported practices will continue, a material change in our relationship with these entities, or among the supported practices, whether resulting from a dispute among the entities, a challenge from a governmental regulator, a change in government regulation, or the loss of these relationships or contracts with outpatient mental health practices, could impair our ability to provide services to our patients and could harm our business.</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on us of healthcare reform legislation and other changes in the healthcare industry and in healthcare spending, including as a result of the 2024 elections, is currently unknown, but may harm our business.</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revenue is dependent on the healthcare industry and could be affected by changes in healthcare spending, reimbursement and policy. The healthcare industry is subject to changing political, regulatory and other influences. The Patient Protection and Affordable Care Act, as amended by the Health Care and Education Reconciliation Act (the “Affordable Care Act” or the “ACA”) in 2010 made major changes in how healthcare is delivered and reimbursed, and increased access to health insurance benefits to the uninsured and underinsured population of the United States.</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as well as efforts to repeal or replace certain aspects of the ACA. While efforts to repeal all or part of the ACA have generally subsided, we cannot be certain that there will not be further legislative efforts or judicial challenges in the future, or how the ACA will be upheld by the Trump administration. In addition to judicial challenges, the Trump administration or U.S. Congress may advance new healthcare policy goals and objectives or reverse existing healthcare policy goals, through statute, regulation and executive order. For example, premium subsidies for the ACA are set to expire in 2025, which without renewal will cause premium increases for the majority of ACA enrollees in 2026 and could result in an increase in the number of uninsured. The control of the House and Senate by a single party beginning in 2025, may enable broad policy changes in the healthcare industry, potentially affecting our business.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Other legislative changes to provider reimbursement have been proposed and adopted since the ACA was enacted. These changes include aggregate reductions to Medicare payments to providers of up to 2% per fiscal year pursuant to the Budget Control Act of 2011 (known as Medicare sequestration) and subsequent extensions, which began in 2013 and will remain in effect through 2030. Physicians are also subject to other laws that may affect our business, such as the Medicare Access and CHIP Reauthorization Act of 2015 ("MACRA"), which requires physicians to report on compliance with certain quality and health record initiatives. New laws may result in additional reductions in Medicare and other healthcare funding, which may materially adversely affect customer demand and affordability for our business and, accordingly, the results of our financial operations.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Such changes in the regulatory environment may also result in changes to our payor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payors by increasing medical costs generally, which could have an effect on the industry and potentially impact our business and revenue as payors seek to offset these increases by reducing costs in other areas. Certain of these provisions are still being implemented and the full impact of these changes on us cannot be determined at this time.</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third-party payors will pay for healthcare products and services, which could adversely affect our business, financial condition and results of operations.</w:t>
      </w:r>
    </w:p>
    <w:p>
      <w:pPr>
        <w:spacing w:after="0" w:line="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business involves the storage and transmission of proprietary information and sensitive or confidential data, including personal information of employees and others, as well as the PHI of our patients. Several laws and regulations require us to keep this information secure. Because of the extreme sensitivity of the information we store and transmit, the security features of our and our third-party vendors’ computer, network and communications systems infrastructure are critical to the success of our business. Our security features and processes or our vetting and oversight of third parties and related hardware and software may not be sufficient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all circumstances. We also exercise limited control over third-party vendors and their computer systems and choice of software, which increases our vulnerability to problems with the technology and information services they provide. Third parties may use our data in ways that violate their contractual commitment or that we did not appreciate or anticipate when contracting.</w:t>
      </w:r>
    </w:p>
    <w:p>
      <w:pPr>
        <w:spacing w:after="0" w:line="6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While we have implemented processes, procedures and controls designed to help mitigate risk and protect the integrity, confidentiality and security of the confidential and personal information under our control, we cannot assure you that any security measures that we or our third-party service providers implement will be effective in preventing security incidents, disruptions, cyberattacks, or other similar events. Determined threat actors would likely be able to penetrate our security or the security of our vendors with enough skills, resources, and time, and they may evade detection for extended periods of time. A breach or failure of our or our third-party vendors’ network, hosted service providers or vendor systems could result from a variety of circumstances and events, including third-party action, employee negligence or error, malfeasance, computer viruses, cyber-attacks by computer hackers such as denial-of-service, ransomware, business email compromise, and phishing attacks, nation-state attacks, political protests, failures during the process of upgrading or replacing software and databases, power outages, hardware failures, telecommunication failures, software errors or incompatibility,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We are also dependent on a technology supply chain that involves many third parties, some of whom may not be known to us, and each of these companies may also be a source of potential risk to our patients, operations and reputation.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evolving cybersecurity threats and changing legal or regulatory requirements in this area could result in legal liability or damage to our reputation in the marketplace.</w:t>
      </w:r>
    </w:p>
    <w:p>
      <w:pPr>
        <w:spacing w:after="0" w:line="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As cyber threats continue to evolve, we and our third-party vendors may be unable to anticipate all potential threats.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persons accessing sensitive patient data (including PHI), a loss of or damage to our data, or an inability to access data sources, process data or provide our services to our patients. A security incident may even remain undetected for an extended period, and we or our third-party vendors may be unable to anticipate such threats and attacks or implement adequate preventive measures. For example, in February 2024, UnitedHealth Group announced that its Change Healthcare information technology systems were being taken offline for an undefined period, which impacted our operations, including our ability to process insurance claims, collect payments and confirm insurance eligibility of patients, and the ability of third-party pharmacies to fill electronic prescriptions our clinicians write for patients. Such failures or breaches of our or our third-party vendors’ security measures, or our or our third-party vendors’ inability to effectively resolve such failures or breaches in a timely manner, could severely damage our reputation, adversely affect patient, provider or investor confidence in us, and reduce the demand for our services from existing and potential patients. In addition, we could face litigation (including class action claims), damages for breach of contract, monetary penalties or regulatory actions for violation of applicable laws or regulations, and incur significant costs to comply with applicable data breach notification laws and to implement remedial measures to prevent future occurrences and mitigate past incidents. Although we maintain insurance coverage that may cover certain liabilities and expenses in connection with security breaches and other security incidents, we cannot be certain that our insurance coverage will be sufficient to compensate for all liability, that insurance will continue to be available to us on commercially reasonable terms (if at all), or that any insurer will not deny coverage as to any future claim, and in any event, insurance coverage would not address the reputational damage that could result from a security incident.</w:t>
      </w:r>
    </w:p>
    <w:p>
      <w:pPr>
        <w:spacing w:after="0" w:line="8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6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PII, including PHI, is subject to federal and state privacy and security laws and regulations, and our failure to comply with those regulations or to adequately secure such information we hold could result in significant liability or reputational harm and, in turn, substantial harm to our supported practices, supported clinicians, patient base and revenue.</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privacy and security of PII stored, maintained, received or transmitted electronically is a significant issue in the United States. While we strive to comply with all applicable privacy and security laws and regulations, as well as our own posted privacy policies, legal standards for privacy, including but not limited to “unfairness” and “deception,” as enforced by the Federal Trade Commission and state attorneys general and comprehensive privacy laws in more than 20 states, continue to evolve. Our failure or perceived failure to comply may result in proceedings or actions against us by government entities or others, or could cause us to lose customers, which could have a material adverse effect on our business. Recently, there has been an increase in public awareness of privacy issues and in the number of private privacy-related lawsuits filed against companies. Any allegations about us, our supported practices or our supported clinicians with regard to the collection, processing, use, disclosure, or security of PII or other privacy-related matters, even if unfounded, could damage our reputation and harm our business.</w:t>
      </w:r>
    </w:p>
    <w:p>
      <w:pPr>
        <w:spacing w:after="0" w:line="84"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We also publish statements to our patients and stakeholders that describe how we handle and protect personal information. If federal or state regulatory authorities or private litigants consider any portion of these statements to be deceptive or misleading, either</w:t>
      </w: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380"/>
        <w:spacing w:after="0" w:line="266" w:lineRule="auto"/>
        <w:rPr>
          <w:sz w:val="20"/>
          <w:szCs w:val="20"/>
          <w:color w:val="auto"/>
        </w:rPr>
      </w:pPr>
      <w:r>
        <w:rPr>
          <w:rFonts w:ascii="Times New Roman" w:cs="Times New Roman" w:eastAsia="Times New Roman" w:hAnsi="Times New Roman"/>
          <w:sz w:val="18"/>
          <w:szCs w:val="18"/>
          <w:color w:val="auto"/>
        </w:rPr>
        <w:t>by what was said or what is omitted, we may be subject to claims of deceptive practices, which could lead to significant liabilities and consequences, including, without limitation, costs of responding to investigations, defending against litigation, settling claims and complying with regulatory or court orders.</w:t>
      </w:r>
    </w:p>
    <w:p>
      <w:pPr>
        <w:spacing w:after="0" w:line="68"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Numerous federal and state laws and regulations govern collection, dissemination, use and confidentiality of personally identifiable health information, including state privacy and confidentiality laws (including state laws requiring notification of data breaches) and HIPAA.</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HIPAA establishes a set of baseline national privacy and security standards for the protection of PHI, by health plans, healthcare clearinghouses and certain healthcare providers, referred to as covered entities, and the business associates with whom such covered entities contract for services, which includes us. Certain of our entities and supported practices are covered entities, while our management service entities are business associates.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HIPAA requires covered entities and business associates 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HIPAA imposes mandatory penalties for certain violations. Penalties for violations of HIPAA and its implementing regulations include civil monetary penalties of up to $71,162 per violation, not to exceed $2,134,831 for violations of the same standard in a single calendar year (as of 2024, and subject to periodic adjustments for inflation). However, a single breach incident can result in violations of multiple standards, which could result in significant fines. A person who knowingly obtains or discloses individually identifiable health information in violation of HIPAA may face a criminal penalty of up to $50,000 and up to one-year of imprisonment. The criminal penalties increase if the wrongful conduct involves false pretenses or the intent to sell, transfer, or use identifiable health information for commercial advantage, personal gain, or malicious harm, with a maximum fine of $250,000 and maximum imprisonment of ten years. HIPAA also authorizes state attorneys general to file suit on behalf of their residents. While HIPAA does not create a private right of action allowing individuals to bring lawsuits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and prospects.</w:t>
      </w:r>
    </w:p>
    <w:p>
      <w:pPr>
        <w:spacing w:after="0" w:line="8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website. Breaches affecting 500 patients or more in the same state or jurisdiction must also be reported to the local media. If a breach involves fewer than 500 people, the covered entity must record it in a log and notify HHS at least annually. Further, the HHS OCR published a proposed rule in January of 2021, which, among other things calls for greater care coordination and an individual’s rights to access patient records. The proposed rule specifically encourages the disclosure of PHI when needed to help individuals experiencing substance use disorder, serious mental illness and in emergency circumstances. The proposed rule is subject to a regulatory suspension announced by the Biden administration and we do not know when (or if) the final rule will be published or whether there may be additional changes to the regulations, but when it is, we will need to evaluate and potentially update our HIPAA regulatory programs and documentation to ensure compliance with such requirements.</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Additionally, online tracking technologies generally used to collect and analyze information about user behavior and enhance the user experience may qualify as HIPAA violations and result in sanction. In December 2022, OCR issued a bulletin titled, “Use of Online Tracking Technologies by HIPAA Covered Entities and Business Associates,” which sets forth broad-reaching guidance for HIPAA covered entities and their business associates that utilize online tracking technologies on their webpages and applications. In the guidance, OCR takes the position that when individuals use regulated entities’ websites, the individual information gleaned from that use (including, in certain circumstances, IP address, geographic location, or other unique identifying code) may include PHI, and such information cannot be disclosed to a tracking vendor in a manner that would constitute an impermissible disclosure under HIPAA (e.g., disclosure without a valid HIPAA authorization or business associate agreement (“BAA”)). In March 2024, the OCR updated its 2023 guidance on the use of online tracking technologies on webpages and applications by HIPAA covered entities and business associates to address the disclosure of individually identifiable health information through unauthenticated, public-facing webpages. The guidance was subject to court challenge, and its interpretation and enforcement remain subject to ongoing developments. There have been several class action lawsuits, including against LifeStance, asserting that HIPAA covered entities and business associates improperly used or disclosed PHI through online tracking technologies. See “— Risks Related to Our Business 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420"/>
        <w:spacing w:after="0" w:line="282" w:lineRule="auto"/>
        <w:rPr>
          <w:sz w:val="20"/>
          <w:szCs w:val="20"/>
          <w:color w:val="auto"/>
        </w:rPr>
      </w:pPr>
      <w:r>
        <w:rPr>
          <w:rFonts w:ascii="Times New Roman" w:cs="Times New Roman" w:eastAsia="Times New Roman" w:hAnsi="Times New Roman"/>
          <w:sz w:val="18"/>
          <w:szCs w:val="18"/>
          <w:color w:val="auto"/>
        </w:rPr>
        <w:t>Our Industry—Litigation, including in connection with commercial disputes or employment claims, against us could be costly and time-consuming to defend.”</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HHS OCR additionally published a final rule in April 2024 modifying existing standards permitting uses and disclosures of PHI when the PHI pertains to reproductive healthcare, which is defined broadly and may capture mental health treatment provided to women surrounding subjects such as pregnancy, miscarriage, abortion, and fertility. The final rule became effective June 25, 2024, with compliance required by December 23, 2024, and generally prohibits the use or disclosure of PHI by a covered entity when said use or disclosure is to be used to conduct a criminal, civil, or administrative investigation into or impose a related liability on any person for the act of seeking, obtaining, providing, or facilitating reproductive healthcare, when such healthcare is lawful under the circumstances in which it is provided. Covered entities are similarly prohibited from disclosing PHI to identify any person for the purpose of conducting such investigation or imposing such liability. To implement this prohibition, covered entities that receive a request for PHI potentially related to reproductive healthcare are required to obtain a signed attestation that the use or disclosure of said PHI is not for a prohibited purpose, when said request is for health oversight activities, judicial and administrative proceedings, law enforcement purposes, or disclosures to coroners and medical examiners. Compliance with this new rule will require careful monitoring of the evolving landscape of state laws surrounding reproductive healthcare so that we may remain compliant with both state and federal laws.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also be required to comply with the Federal Substance Abuse Confidentiality Regulations, known as 42 C.F.R. Part 2. In July 2020, new regulations overhauled these laws to better align with HIPAA and to facilitate better coordination of care in response to the opioid epidemic. On December 2, 2022, HHS OCR published a proposed rule containing proposals to implement the CARES Act provisions, which bring Part 2 in alignment with HIPAA including, among other things, expanding the scope of permitted disclosures of substance use disorder treatment records and applying HIPAA's breach notification standards to breaches of records protected by Part 2. Notice of Privacy Practices and arrangements with business associates and qualified service organizations will also need to be adjusted accordingly.</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Final Rule, which was published in February 2024, aligned Part 2 penalties with civil and criminal enforcement authorities that apply to HIPAA violations. Under the Final Rule, the penalties for Part 2 violations have increased, rising from up to $5,000 for individuals and $10,000 for organizations on a per-violation basis to a $50,000 maximum penalty for failure to comply with the Part 2 requirements and a $250,000 maximum penalty for wrongful disclosure of individually identifiable health information. Additional changes in the Final Rule further harmonize Part 2 with HIPAA and include aligning data breach notification protocols with the HIPAA Breach Notification Rule; allowing single consents for disclosures related to treatment, payment and healthcare operations; and aligning Part 2 Patient Notice requirements with requirements of the HIPAA Notice of Privacy Practices. We will have until February 2026 to comply.</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 U.S. federal government and various states and governmental agencies have adopted or are considering adopting various laws, regulations and standards regarding the collection, use, retention, security, disclosure, transfer and other processing of sensitive and personal information. For example, California implemented the California Confidentiality of Medical Information Act, which imposes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For example, the California Consumer Privacy Act, as amended by the California Privacy Rights Act (together, the "CCPA") gives California residents certain privacy rights in the collection and use of their personal information, and take certain other acts in furtherance of those rights. Failure to comply with the CCPA may result in, among other things, civil penalties of up to $7,500 per violation, as well as a private right of action for certain data breaches. Additionally, California created a data protection agency authorized to implement and enforce the CCPA, which could result in increased enforcement. While the CCPA contains an exemption for PHI subject to HIPAA, we may process other personal information that is subject to the CCPA. In addition, almost 20 other states have now passed comprehensive privacy laws that have taken effect or will come into effect at various times over the next few years.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comprehensive state privacy laws also provide exemptions for PHI subject to HIPAA or exempt covered entities and business associates entirely. All of these evolving compliance and operational requirements impose significant costs that are likely to increase over time, may require us to modify our data processing practices and policies, divert resources from other initiatives and projects and could restrict the way services involving data are offered, all of which may adversely affect our results of operations. Certain state laws may be more stringent or broader in scope, or offer greater individual rights, with respect to sensitive and personal information than federal, international or other state laws, and such laws may differ from each other, which may complicate compliance efforts. State laws are changing rapidly and there is discussion in Congress of a new federal data protection and privacy law to which we may be subject. We will need to continue to evaluate our privacy program as the implementation of the law evolves and may need to make further modifications to our programs, which, if we fail to do so as required, may expose us to liability.</w:t>
      </w:r>
    </w:p>
    <w:p>
      <w:pPr>
        <w:spacing w:after="0" w:line="84"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There are many other federal and state-based data privacy and security laws and regulations that may impact our business. For example, federal, state and local privacy and consumer protection laws also govern specific technologies that we employ or how we market to, and otherwise communicate with, individuals. For example, the Controlling the Assault of Non-Solicited Pornography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right="20"/>
        <w:spacing w:after="0" w:line="256" w:lineRule="auto"/>
        <w:rPr>
          <w:sz w:val="20"/>
          <w:szCs w:val="20"/>
          <w:color w:val="auto"/>
        </w:rPr>
      </w:pPr>
      <w:r>
        <w:rPr>
          <w:rFonts w:ascii="Times New Roman" w:cs="Times New Roman" w:eastAsia="Times New Roman" w:hAnsi="Times New Roman"/>
          <w:sz w:val="18"/>
          <w:szCs w:val="18"/>
          <w:color w:val="auto"/>
        </w:rPr>
        <w:t>Marketing Act and the Telephone Consumer Protection Act (“TCPA”) impose specific requirements on communications with consumers. The TCPA and analogous state laws, for instance, impose various consumer consent requirements and other restrictions on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The TCPA provides for substantial penalties and statutory damages and has generated significant class action activity. The costs of litigating and/or settling a TCPA or similar legal claim could be significant.</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along with increased customer demands for enhanced data security, could greatly increase our cost of providing our services, decrease demand for our services, reduce our revenue and/or subject us to additional liabilities.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applicable federal and state laws, we are also subject to PCI DSS, a self-regulatory standard that requires companies that process payment card data to implement certain data security measures. If we or our payment processor fail to comply with the PCI DSS, we may incur significant fines or liability and lose access to major payment card systems. Our systems are subject to annual review under the PCI DSS requirements, and we have historically had, may now have, and may have in the future have items that require improvement. Industry groups may in the future adopt additional self-regulatory standards by which we are legally or contractually bound.</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evolving patchwork of differing state and federal privacy and data security laws increases the cost and complexity of operating our business and increases our exposure to liability, including from third-party litigation and regulatory investigations, enforcement, fines and penalties. The scope and enforcement of each of these laws is uncertain and subject to rapid change, particularly,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Any such investigations, prosecutions, convictions or settlements could result in significant financial penalties, damage to our brand and reputation, and a loss of customers, any of which could have an adverse effect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regulating scope of clinician practices and supervision requirements may constrain our ability to grow and meet patient needs.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Each state regulates the scope of practice under our clinicians’ licenses. There is substantial variation across states in scope of practice for many clinician types, including nurse practitioners. In a number of states in which we operate, nurse practitioners are required to have physician supervisors, in particular in connection with the prescription of Schedule II drugs. The need to provide supervisors may constrain our ability to add new clinicians to the practice, meet patient need or serve specific geographic regions. Further, supervision and scope of license laws are subject to frequent change by state legislative bodies. Changes decreasing the scope of license or increasing the onerousness of supervision requirements could adversely affect our ability to meet patient need and ultimately negatively impact our business and results of operations.</w:t>
      </w:r>
    </w:p>
    <w:p>
      <w:pPr>
        <w:spacing w:after="0" w:line="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telehealth are still evolving. To the extent regulations revert to their pre-COVID state, our ability to provide or be reimbursed for certain telehealth services could be impaired.</w:t>
      </w:r>
    </w:p>
    <w:p>
      <w:pPr>
        <w:spacing w:after="0" w:line="51"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Given the uncertain regulatory climate, government regulations regarding the provision of telehealth services have been unpredictable, and sudden changes could be costly to us or have a material effect on our business. Further, some states impose strict standards on using telehealth to prescribe certain classes of controlled substances that can be commonly used to treat mental health disorders. The unpredictability of this regulatory landscape means that sudden changes in policy regarding standards of care and reimbursement are possible. If a successful legal challenge or an adverse change in the relevant laws were to occur, and we were unable to adapt our business model accordingly, our operations in the affected jurisdictions would be disrupted, which could have a material adverse effect on our business, financial condition and results of operations. If we are required to adapt our business model, we may be limited to only in person services, which may have a material adverse effect on our business, financial condition and results of operations.</w:t>
      </w:r>
    </w:p>
    <w:p>
      <w:pPr>
        <w:spacing w:after="0" w:line="6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7"/>
          <w:szCs w:val="17"/>
          <w:color w:val="auto"/>
        </w:rPr>
        <w:t>Recent growth in our telehealth services has been facilitated by significant reduction of regulatory and reimbursement barriers for telehealth services in response to the COVID-19 pandemic, including expansion of reimbursement for telehealth services, and easing of state licensure policies for clinicians, enabling more clinicians to serve patients in more states. During the public health emergency, the Drug Enforcement Agency permitted providers to prescribe certain controlled substances through telehealth without requiring those providers to have conducted an in-person medical evaluation. This flexibility has been extended through December 31, 2025. However, to the extent these regulations revert to their pre-COVID state, our ability to provide certain telehealth services may be impaired, which may have a material adverse effect on our business, financial condition and results of operations.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 and growth prospects.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$290.0 million in principal amount outstanding under our 2024 Credit Agreement.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indebtedness and the cash flow needed to satisfy our debt have important consequences, including:</w:t>
      </w:r>
    </w:p>
    <w:p>
      <w:pPr>
        <w:spacing w:after="0" w:line="117" w:lineRule="exact"/>
        <w:rPr>
          <w:sz w:val="20"/>
          <w:szCs w:val="20"/>
          <w:color w:val="auto"/>
        </w:rPr>
      </w:pPr>
    </w:p>
    <w:p>
      <w:pPr>
        <w:ind w:left="1140" w:right="540" w:hanging="369"/>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rising interest rates;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in the event of a downturn in our business.</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we may need to refinance all or a portion of our indebtedness before maturity. We may not be able to refinance any of our indebtedness on commercially reasonable terms or at all.</w:t>
      </w:r>
    </w:p>
    <w:p>
      <w:pPr>
        <w:spacing w:after="0" w:line="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7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2024 Credit Agreement restrict our current and future operations, particularly our ability to respond to changes or to take certain actions.</w:t>
      </w:r>
    </w:p>
    <w:p>
      <w:pPr>
        <w:spacing w:after="0" w:line="5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2024 Credit Agreement contains a number of restrictive covenants that impose significant operating and financial restrictions on us and may limit our ability to engage in acts that may be in our long-term best interests, including restrictions on our ability to:</w:t>
      </w:r>
    </w:p>
    <w:p>
      <w:pPr>
        <w:spacing w:after="0" w:line="54" w:lineRule="exact"/>
        <w:rPr>
          <w:sz w:val="20"/>
          <w:szCs w:val="20"/>
          <w:color w:val="auto"/>
        </w:rPr>
      </w:pPr>
    </w:p>
    <w:p>
      <w:pPr>
        <w:ind w:left="1140" w:hanging="36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other contingent obligations;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acquisitions, loans and advances;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liquidate or dissolve;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our assets;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equity interests or make other payments in respect of capital stock;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alter the business we conduct.</w:t>
      </w:r>
    </w:p>
    <w:p>
      <w:pPr>
        <w:spacing w:after="0" w:line="117"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the discussion under the heading “Management's Discussion and Analysis of Financial Condition and Results of Operations— Liquidity and Capital Resources” for further information about these covenants.</w:t>
      </w: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5" w:name="page36"/>
    <w:bookmarkEnd w:id="35"/>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restrictive covenants in the 2024 Credit Agreement require us to satisfy certain financial condition tests. Our ability to satisfy those tests can be affected by events beyond our control. In addition, the 2024 Credit Agreement contains a financial maintenance covenant requiring compliance with a maximum leverage ratio as of the last day of each fiscal quarter.</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breach of the covenants or restrictions under the 2024 Credit Agreement could result in an event of default. Such a default may allow the creditors to accelerate the related debt, which may result in the acceleration of any other debt we may incur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75" w:lineRule="exact"/>
        <w:rPr>
          <w:sz w:val="20"/>
          <w:szCs w:val="20"/>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11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These restrictions, along with restrictions that may be contained in agreements evidencing or governing other future indebtedness, may affect our ability to grow in accordance with our growth strategy.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control us, and their interests may conflict with ours or yours.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investment entities affiliated with TPG Inc. ("TPG"), affiliates of Silversmith Capital Partners ("Silversmith"), and affiliates of Summit Partners ("Summit" and together with TPG and Silversmith, our "Principal Stockholders"), collectively, beneficially owned approximately 57.6% of our common stock. The Principal Stockholders together will control the vote of all matters submitted to a vote of our stockholders, which enables them to control the election of the members of the Board of Directors and other corporate decisions. Even when the Principal Stockholders cease to own shares of our stock representing a majority of the total voting power, for so long as the Principal Stockholders continue to own a significant percentage of our stock, the Principal Stockholders will still be able to significantly influence the composition of our Board of Directors and the approval of actions requiring stockholder approval. Accordingly, for such period of time, the Principal Stockholders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the Principal Stockholders continue to own a significant percentage of our stock, the Principal Stockholders will be able to cause or prevent a change of control of us or a change in the composition of our Board of Directors and could preclude any unsolicited acquisition of us. The concentration of ownership could deprive you of an opportunity to receive a premium for your shares of common stock as part of a sale of us and ultimately might affect the market price of our common stock.</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Principal Stockholders and their affiliates engage in a broad spectrum of activities, including investments in the healthcare industry generally. In the ordinary course of their business activities, the Principal Stockholders and their affiliates may engage in activities where their interests conflict with our interests or those of our other stockholders, such as investing in or advising businesses that directly or indirectly compete with certain portions of our business or are suppliers or customers of ours. Our amended and restated certificate of incorporation provides that none of the Principal Stockholders, any of their affiliates or any director who is not employed by us (including any non-employee director who serves as one of our officers in both his director and officer capacities) or its affiliates will have any duty to refrain from engaging, directly or indirectly, in the same business activities or similar business activities or lines of business in which we operate. The Principal Stockholders also may pursue acquisition opportunities that may be complementary to our business, and, as a result, those acquisition opportunities may not be available to us. In addition, each of the Principal Stockholders may have an interest in pursuing acquisitions, divestitures and other transactions that, in its judgment, could enhance its investment, even though such transactions might involve risks to you.</w:t>
      </w:r>
    </w:p>
    <w:p>
      <w:pPr>
        <w:spacing w:after="0" w:line="8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we qualify for exemptions from certain corporate governance requirements. You will not have the same protections as those afforded to stockholders of companies that are subject to such governance requirements.</w:t>
      </w:r>
    </w:p>
    <w:p>
      <w:pPr>
        <w:spacing w:after="0" w:line="6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Principal Stockholders together control a majority of the voting power of our outstanding common stock. As a result, we are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140" w:hanging="36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1140" w:right="180" w:hanging="369"/>
        <w:spacing w:after="0" w:line="261"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w:t>
      </w: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1140" w:right="800" w:hanging="369"/>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11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We may elect to utilize one or more of these exemptions. Accordingly, you will not have the same protections afforded to stockholders of companies that are subject to all of the corporate governance requirements of Nasdaq.</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will continue to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The Sarbanes-Oxley Act of 2002,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Our management and other personnel has and will also need to continue to devote a substantial amount of time towards compliance with the additional reporting requirements of the Securities Exchange Act of 1934, as amended (the “Exchange Act”). These requirements have and will continue to increase our legal and financial compliance costs and will make some activities more time-consuming and costly.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our internal control over financial reporting and may identify additional material weaknesses in the future or fail to maintain an effective system of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which could harm our business and negatively impact the value of our common stock.</w:t>
      </w:r>
    </w:p>
    <w:p>
      <w:pPr>
        <w:spacing w:after="0" w:line="5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as of and for the year ended December 31, 2019,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7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due to an insufficient complement of resources in the accounting/finance and IT functions, with an appropriate level of knowledge, experience and training. This material weakness contributed to the following additional material weaknesses:</w:t>
      </w:r>
    </w:p>
    <w:p>
      <w:pPr>
        <w:spacing w:after="0" w:line="68" w:lineRule="exact"/>
        <w:rPr>
          <w:sz w:val="20"/>
          <w:szCs w:val="20"/>
          <w:color w:val="auto"/>
        </w:rPr>
      </w:pPr>
    </w:p>
    <w:p>
      <w:pPr>
        <w:ind w:left="1020" w:right="2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formal accounting policies and procedures, and did not design and maintain effective controls related to significant accounts and disclosures to achieve complete, accurate and timely financial accounting, reporting and disclosures, including controls over account reconciliations, segregation of duties and the preparation and review of journal entries.</w:t>
      </w:r>
    </w:p>
    <w:p>
      <w:pPr>
        <w:spacing w:after="0" w:line="67" w:lineRule="exact"/>
        <w:rPr>
          <w:rFonts w:ascii="Times New Roman" w:cs="Times New Roman" w:eastAsia="Times New Roman" w:hAnsi="Times New Roman"/>
          <w:sz w:val="18"/>
          <w:szCs w:val="18"/>
          <w:color w:val="auto"/>
        </w:rPr>
      </w:pPr>
    </w:p>
    <w:p>
      <w:pPr>
        <w:ind w:left="102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material weaknesses resulted in material misstatements related to the identification and valuation of intangible assets acquired in business combinations that impacted the classification of intangible assets and goodwill, related impacts to amortization and income tax expense, and the restatement of our previously issued annual consolidated financial statements as of and for the years ended December 31, 2019 and 2018 with respect to such intangibles assets acquired in business combinations. 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spacing w:after="0" w:line="79" w:lineRule="exact"/>
        <w:rPr>
          <w:rFonts w:ascii="Times New Roman" w:cs="Times New Roman" w:eastAsia="Times New Roman" w:hAnsi="Times New Roman"/>
          <w:sz w:val="18"/>
          <w:szCs w:val="18"/>
          <w:color w:val="auto"/>
        </w:rPr>
      </w:pPr>
    </w:p>
    <w:p>
      <w:pPr>
        <w:ind w:left="1020" w:right="8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IT general controls for information systems that are relevant to the preparation of our consolidated financial statements. Specifically, we did not design and maintain: (i) program change management controls for financial systems to ensure that information technology program and data changes affecting financial IT applications and underlying accounting records are identified, tested, authorized and implemented appropriately; (ii) user access controls to ensure appropriate segregation of duties</w:t>
      </w:r>
    </w:p>
    <w:p>
      <w:pPr>
        <w:spacing w:after="0" w:line="3" w:lineRule="exact"/>
        <w:rPr>
          <w:sz w:val="20"/>
          <w:szCs w:val="20"/>
          <w:color w:val="auto"/>
        </w:rPr>
      </w:pPr>
    </w:p>
    <w:p>
      <w:pPr>
        <w:ind w:left="1020" w:right="100"/>
        <w:spacing w:after="0" w:line="250" w:lineRule="auto"/>
        <w:rPr>
          <w:sz w:val="20"/>
          <w:szCs w:val="20"/>
          <w:color w:val="auto"/>
        </w:rPr>
      </w:pPr>
      <w:r>
        <w:rPr>
          <w:rFonts w:ascii="Times New Roman" w:cs="Times New Roman" w:eastAsia="Times New Roman" w:hAnsi="Times New Roman"/>
          <w:sz w:val="18"/>
          <w:szCs w:val="18"/>
          <w:color w:val="auto"/>
        </w:rPr>
        <w:t>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a material misstatement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made progress towards designing and implementing the plan to remediate the material weaknesses and will continue to review, revise, and improve the design and implementation of our internal controls as appropriate. Although we have made enhancements to our control procedures, these material weaknesses will not be considered remediated until our controls are effectively designed and operational for a sufficient period of time, tested, and management concludes that these controls are operating effectively. Failing to develop or maintain effective internal control over financial reporting may result in a misstatement of our financial statements or cause investors to lose confidence in us, which could have a material adverse effect on our business, financial condition or results of operations.</w:t>
      </w:r>
    </w:p>
    <w:p>
      <w:pPr>
        <w:spacing w:after="0" w:line="7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51"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Pursuant to Section 404 of the Sarbanes-Oxley Act of 2002, as amended (the "Sarbanes-Oxley Act"), our management is required to report on, and our independent registered public accounting firm is required to attest to, the effectiveness of our internal control over financial reporting. This assessment includes disclosure of any material weakness identified by our management in our internal control over financial reporting. In addition, we are required to comply with the SEC's rules implementing Section 302 of the Sarbanes-Oxley Act, which requires management to certify financial and other information in our quarterly and annual reports, and we are required to disclose significant changes made in our internal controls and procedures on a quarterly basis.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identify an additional material weakness in our internal control over financial reporting, we may not be able to remediate the material weakness identified in a timely manner or maintain all of the controls necessary to remain in compliance with our reporting obligations. If we identify any additional material weaknesses in our internal controls over financial reporting or we are unable to comply with the requirements of Section 404 of the Sarbanes-Oxley Act in a timely manner or assert that our internal controls over financial reporting are effective, or if our independent registered public accounting firm is unable to express an unqualified opinion as to the effectiveness of our internal control over financial reporting in future periods, investors may lose confidence in the accuracy and completeness of our financial reports. As a result, the market price of our common stock could be materially adversely affected.</w:t>
      </w:r>
    </w:p>
    <w:p>
      <w:pPr>
        <w:spacing w:after="0" w:line="7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corporate governance documents could make an acquisition of our Company more difficult and may prevent attempts by our stockholders to replace or remove our current management, even if beneficial to our stockholders.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to beneficial ownership by our Principal Stockholders of a controlling percentage of our common stock, our certificate of incorporation and bylaws, and the Delaware General Corporate Law (the “DGCL”), contain provisions that could make it more difficult for a third party to acquire us, even if doing so might be beneficial to our stockholders. These provisions include a classified Board of Directors and the ability of our Board of Directors to issue preferred stock without stockholder approval that could be used to dilute a potential acquirer.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to replace current members of our management team. As a result, you may lose your ability to sell your stock for a price in excess of the prevailing market price due to these protective measures, and efforts by stockholders to change the direction or management of the Company may be unsuccessful.</w:t>
      </w:r>
    </w:p>
    <w:p>
      <w:pPr>
        <w:spacing w:after="0" w:line="7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courts in the State of Delaware as the sole and exclusive forum for certain types of actions and proceedings that may be initiated by our stockholders, and also provide that the federal district courts will be the exclusive forum for resolving any complaint asserting a cause of action arising under the Securities Act of 1933, as amended (the “Securities Act”), each of which could limit our stockholders’ ability to choose the judicial forum for disputes with us or our directors, officers, stockholders, or employees.</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Court of Chancery of the State of Delaware will be the sole and exclusive forum for:</w:t>
      </w:r>
    </w:p>
    <w:p>
      <w:pPr>
        <w:spacing w:after="0" w:line="54" w:lineRule="exact"/>
        <w:rPr>
          <w:sz w:val="20"/>
          <w:szCs w:val="20"/>
          <w:color w:val="auto"/>
        </w:rPr>
      </w:pPr>
    </w:p>
    <w:p>
      <w:pPr>
        <w:ind w:left="1140" w:hanging="369"/>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140" w:right="900" w:hanging="369"/>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ind w:left="5540" w:right="500" w:hanging="4769"/>
        <w:spacing w:after="0" w:line="282" w:lineRule="auto"/>
        <w:tabs>
          <w:tab w:leader="none" w:pos="11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any provision of the DGCL, our certificate of incorporation or our bylaws;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8" w:name="page39"/>
    <w:bookmarkEnd w:id="38"/>
    <w:p>
      <w:pPr>
        <w:ind w:left="1140" w:hanging="36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bylaws;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asserting a claim against us that is governed by the internal affairs doctrine (each, a “Covered Proceeding”).</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However, Section 22 of the Securities Act provides that federal and state courts have concurrent jurisdiction over lawsuits brought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 This provision does not apply to claims brought under the Exchange Act.</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these provisions. These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a provision renouncing our interest and expectancy in certain corporate opportunities, which could adversely impact our business.</w:t>
      </w:r>
    </w:p>
    <w:p>
      <w:pPr>
        <w:spacing w:after="0" w:line="5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Each of our Principal Stockholders and the members of our Board of Directors who are affiliated with them, by the terms of our certificate of incorporation, will not be required to offer us any corporate opportunity of which they become aware and can take any such corporate opportunity for themselves or offer it to other companies in which they have an investment. We, by the terms of our certificate of incorporation, expressly renounce any interest or expectancy in any such corporate opportunity to the extent permitted under applicable law, even if the opportunity is one that we or our subsidiaries might reasonably have pursued or had the ability or desire to pursue if granted the opportunity to do so. Our certificate of incorporation will not be able to be amended to eliminate our renunciation of any such corporate opportunity arising prior to the date of any such amendment.</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Stockholders are in the business of making investments in companies and any of our Principal Stockholders may from time to time acquire and hold interests in businesses that compete directly or indirectly with us. These potential conflicts of interest could have a material adverse effect on our business, financial condition, results of operations or prospects if our Principal Stockholders allocate attractive corporate opportunities to themselves or their affiliates instead of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the value of our common stock may decline.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highly volatile and may fluctuate or decline substantially as a result of a variety of factors.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results of operations and the trading price of our shares may fluctuate in response to various factors, including:</w:t>
      </w:r>
    </w:p>
    <w:p>
      <w:pPr>
        <w:spacing w:after="0" w:line="72" w:lineRule="exact"/>
        <w:rPr>
          <w:sz w:val="20"/>
          <w:szCs w:val="20"/>
          <w:color w:val="auto"/>
        </w:rPr>
      </w:pPr>
    </w:p>
    <w:p>
      <w:pPr>
        <w:ind w:left="1140" w:right="420" w:hanging="369"/>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 and whether our results of operations meet the expectations of securities analysts or investors;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securities analysts’ estimates and expectations of our financial performance;</w:t>
      </w:r>
    </w:p>
    <w:p>
      <w:pPr>
        <w:spacing w:after="0" w:line="117" w:lineRule="exact"/>
        <w:rPr>
          <w:rFonts w:ascii="Times New Roman" w:cs="Times New Roman" w:eastAsia="Times New Roman" w:hAnsi="Times New Roman"/>
          <w:sz w:val="18"/>
          <w:szCs w:val="18"/>
          <w:color w:val="auto"/>
        </w:rPr>
      </w:pPr>
    </w:p>
    <w:p>
      <w:pPr>
        <w:ind w:left="1140" w:right="480" w:hanging="369"/>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technology platform capabilities, commercial or payor relationships, acquisitions, or other events by us or our competitors;</w:t>
      </w:r>
    </w:p>
    <w:p>
      <w:pPr>
        <w:spacing w:after="0" w:line="53" w:lineRule="exact"/>
        <w:rPr>
          <w:rFonts w:ascii="Times New Roman" w:cs="Times New Roman" w:eastAsia="Times New Roman" w:hAnsi="Times New Roman"/>
          <w:sz w:val="18"/>
          <w:szCs w:val="18"/>
          <w:color w:val="auto"/>
        </w:rPr>
      </w:pPr>
    </w:p>
    <w:p>
      <w:pPr>
        <w:ind w:left="1140" w:right="780" w:hanging="369"/>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volatility in the market price and trading volume of technology companies in general and of companies in the mental healthcare industry and the general healthcare in particular;</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perceptions of our prospects and the prospects of the businesses in which we participate;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departures of any of our key personnel;</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or involving our industry, or both;</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legal or regulatory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anticipated default under agreements governing our indebtedness;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ind w:left="1140" w:hanging="369"/>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results of operations and the market price and demand for our shares to fluctuate substantially. While we believe that results of operations for any particular quarter are not necessarily a meaningful indication of future results, fluctuations in our quarterly results of operations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do not currently pay dividends and do not currently anticipate paying dividends on our common stock in the future. The declaration, amount and payment of any future dividends on shares of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the implications of the payment of dividends by us to our stockholders or by our subsidiaries to us, and any other factors that our Board of Directors may deem relevant. In addition, our ability to pay dividends is, and may be, limited by covenants of any future outstanding indebtedness we or our subsidiaries incur. Therefore, any return on investment in our common stock is solely dependent upon the appreciation of the price of our common stock on the open market, which may not occur.</w:t>
      </w:r>
    </w:p>
    <w:p>
      <w:pPr>
        <w:spacing w:after="0" w:line="7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unfavorable or inaccurate research about our business, our common stock price and trading volume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shares is influenced, in part, by the research and reports that industry or securities analysts or other commentators publish about us or our business. We do not have any control over these analysts or commentators.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has adopted processes designed to identify, assess and manage material risks from cybersecurity threats. Those processes include response to and an assessment of internal and external threats to the security, confidentiality, integrity and availability of company data and systems along with other material risks to company operations, at least annually or whenever there are material changes to the Company’s systems or operations. 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breaches. As part of our risk management process, the Company engages outside providers to conduct periodic penetration testing and other cybersecurity audits. The Company stores company data in cloud environments with security appropriate to data involved and has adopted controls around, among other things, vendor risk assessment, information classification, access and acceptable use and backup and recovery.</w:t>
      </w:r>
    </w:p>
    <w:p>
      <w:pPr>
        <w:spacing w:after="0" w:line="8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Company's Senior Vice President of IT Security ("SVP of IT Security") has over 35 years of experience in the informational technology field, with 19 years of healthcare IT experience with an emphasis in IT security and computer forensics. The SVP of IT Security has operational responsibility for ensuring the adequacy and effectiveness of the company’s risk management, control and governance processes, who periodically reports to the Operational Risk Committee ("ORC"), responsible for applying the policy decisions and, in coordination with the Chief Digital Officer and Chief Executive Officer, reports to the Board of Directors at least annually or more regularly at the discretion of the ORC.</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Audit Committee of the Board of Directors is briefed on cybersecurity risks at least once each calendar year and also receives prompt and timely information regarding any cybersecurity incident that meets established reporting thresholds. The SVP of IT Security reports quarterly to the Audit Committee and such report addresses overall assessment of the Company’s compliance with this and other cybersecurity policies, including topics such as risk assessment, risk management and control decisions, service provider arrangements, test results, security incidents and responses, recommendations for changes and/or updates to policies and procedures.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Scottsdale, Arizona pursuant to the terms of an approximately six-year lease that was entered into August 2023 for approximately 6,000 square feet of space. In addition, our subsidiaries and supported practices lease space for clinic services at each of our 569 centers. We believe that our current facilities are adequate to meet our current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either asserted or unasserted, which arise in the ordinary course of business. While the outcome of these matters cannot be predicted with certainty, we do not believe that the outcome of any of these matters, individually or in the aggregate, will have a material adverse effect on our consolidated financial condition, results of operations, or cash flows.</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certain legal proceedings in which we are involved, please read Note 13, Commitments and Contingencies, to our consolidated financial statements included in Part IV, Item 15, of this Annual Report on Form 10-K,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6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Securities Market Information</w:t>
      </w: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“LFST” since June 10, 2021. Prior to that, there was no public trading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February 19, 2025, there were approximately 29 stockholders of record for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do not currently pay dividends and do not currently anticipate paying dividends on our common stock in the future. However, we expect to reevaluate our dividend policy on a regular basis and may, subject to compliance with the covenants contained in our credit facilities and other considerations, determine to pay dividends in the future. The declaration, amount and payment of any future dividends on shares of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the implications of the payment of dividends by us to our stockholders or by our subsidiaries to us, and any other factors that our Board of Directors may deem relevant.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following graph and related information shows a comparison of the cumulative total return for our common stock, Russell 2000 Composite Index ("Russell 2000") and Russell 2500 Health Care Index ("Russell 2500 Health Care") between June 10, 2021 (the date our common stock commenced trading on Nasdaq) through December 31, 2024. All values assume an initial investment of $100 and reinvestment of any dividends. However, no dividends have been declared on our common stock to date. The stock price performance on the following graph represents past performance and is not necessarily indicative of possible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59690</wp:posOffset>
            </wp:positionV>
            <wp:extent cx="4800600" cy="2477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0060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6/10/2021</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00" w:type="dxa"/>
            <w:vAlign w:val="bottom"/>
          </w:tcPr>
          <w:p>
            <w:pPr>
              <w:spacing w:after="0"/>
              <w:rPr>
                <w:sz w:val="20"/>
                <w:szCs w:val="20"/>
                <w:color w:val="auto"/>
              </w:rPr>
            </w:pPr>
          </w:p>
        </w:tc>
      </w:tr>
      <w:tr>
        <w:trPr>
          <w:trHeight w:val="210"/>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LifeStance Health Group, Inc.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Russell 2500 Health Care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The information above shall not be deemed “soliciting material” or to be “filed” for purposes of Section 18 of the Securities Exchange Act of 1934, as amended, or otherwise subject to the liabilities under that section, and shall not be incorporated by reference into any of our other filings under the Securities Exchange Act of 1934, as amended, or the Securities Act of 1933, as amended, regardless of any general incorporation language in those filings.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089"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In addition to historical consolidated financial information, the following discussion contains forward-looking statements that reflect our plans, estimates, and beliefs. These forward-looking statements are subject to numerous risks and uncertainties, including, but not limited to, the risk and uncertainties described under “Risk Factors” and elsewhere in this Annual Report on Form 10-K. Our actual results may differ materially from those contained in or implied by any forward-looking statements. See “Cautionary Note Regarding Forward-Looking Statements” included elsewhere in this Annual Report on Form 10-K.</w:t>
      </w:r>
    </w:p>
    <w:p>
      <w:pPr>
        <w:spacing w:after="0" w:line="74"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LifeStance Health Group, Inc. was formed as a Delaware corporation on January 28, 2021 for the purpose of completing an initial public offering ("IPO") and related transactions in order to carry on the business of LifeStance TopCo, L.P. (“LifeStance TopCo”) and its consolidated subsidiaries and supported practices. LifeStance Health Group, Inc. wholly-owns the equity interest of LifeStance TopCo and operates and controls all of the business and affairs and consolidates the financial results of LifeStance TopCo and its wholly owned subsidiaries and supported practices.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Unless stated otherwise or the context otherwise requires, the terms "we", "us", "our business", "LifeStance" and "our Company" and similar references refer to LifeStance Health Group, Inc. and its consolidated subsidiaries and supported practices. References to "our employees" and "our clinicians" refer collectively to employees and clinicians, respectively, of our subsidiaries and supported practices. References to "our patients" refer to the patients treated by such clinicians.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reimagining mental health through a tech-enabled care delivery model built to expand access, address affordability, improve outcomes and lower overall healthcare costs. We are one of the nation’s largest outpatient mental health platforms based on the number of clinicians we employ through our subsidiaries and our supported practices and our geographic scale, employing 7,424 licensed mental health clinicians across 33 states as of December 31, 2024. In 2024, our clinicians treated over 940,000 unique patients through approximately 7.9 million visits. Our patient-focused platform combines a personalized, digitally 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model is built to empower each of the healthcare ecosystem’s key stakeholders—patients, clinicians, payors and primary care and specialist physicians—by aligning around our shared goal of delivering better outcomes for patients and providing high-quality mental healthcare.</w:t>
      </w:r>
    </w:p>
    <w:p>
      <w:pPr>
        <w:spacing w:after="0" w:line="52" w:lineRule="exact"/>
        <w:rPr>
          <w:sz w:val="20"/>
          <w:szCs w:val="20"/>
          <w:color w:val="auto"/>
        </w:rPr>
      </w:pPr>
    </w:p>
    <w:p>
      <w:pPr>
        <w:ind w:left="1140" w:right="60" w:hanging="369"/>
        <w:spacing w:after="0" w:line="257"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Patients - </w:t>
      </w:r>
      <w:r>
        <w:rPr>
          <w:rFonts w:ascii="Times New Roman" w:cs="Times New Roman" w:eastAsia="Times New Roman" w:hAnsi="Times New Roman"/>
          <w:sz w:val="18"/>
          <w:szCs w:val="18"/>
          <w:color w:val="auto"/>
        </w:rPr>
        <w:t>We are the front-door to comprehensive outpatient mental healthcare. Our clinicians offer patients a full spectrum of outpatient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treat mental health conditions. Our in-network payor relationships improve patient access by allowing patients to access care without significant out-of-pocket cost or delays in receiving treatment. Our personalized, data-driven comprehensive care meets patients where they are, through convenient virtual and in-person settings. We support our patients throughout their care continuum with purpose-built technological capabilities, including online assessments, digital provider communication, and seamless internal referral and follow-up capabilities.</w:t>
      </w:r>
    </w:p>
    <w:p>
      <w:pPr>
        <w:spacing w:after="0" w:line="74" w:lineRule="exact"/>
        <w:rPr>
          <w:rFonts w:ascii="Times New Roman" w:cs="Times New Roman" w:eastAsia="Times New Roman" w:hAnsi="Times New Roman"/>
          <w:sz w:val="18"/>
          <w:szCs w:val="18"/>
          <w:color w:val="auto"/>
        </w:rPr>
      </w:pPr>
    </w:p>
    <w:p>
      <w:pPr>
        <w:ind w:left="1140" w:right="20" w:hanging="369"/>
        <w:spacing w:after="0" w:line="26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Clinicians - </w:t>
      </w:r>
      <w:r>
        <w:rPr>
          <w:rFonts w:ascii="Times New Roman" w:cs="Times New Roman" w:eastAsia="Times New Roman" w:hAnsi="Times New Roman"/>
          <w:sz w:val="18"/>
          <w:szCs w:val="18"/>
          <w:color w:val="auto"/>
        </w:rPr>
        <w:t>We empower clinicians to focus on patient care and relationships by providing what we believe is a superior workplace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as well as clinical and technology capabilities to deliver high-quality care. We offer a unique employment model for clinicians in a collaborative clinical environment, employing our clinicians through our subsidiaries and supported practices. Our integrated platform and national infrastructure reduce administrative burdens for clinicians while increasing engagement and satisfaction.</w:t>
      </w:r>
    </w:p>
    <w:p>
      <w:pPr>
        <w:spacing w:after="0" w:line="71" w:lineRule="exact"/>
        <w:rPr>
          <w:rFonts w:ascii="Times New Roman" w:cs="Times New Roman" w:eastAsia="Times New Roman" w:hAnsi="Times New Roman"/>
          <w:sz w:val="18"/>
          <w:szCs w:val="18"/>
          <w:color w:val="auto"/>
        </w:rPr>
      </w:pPr>
    </w:p>
    <w:p>
      <w:pPr>
        <w:jc w:val="both"/>
        <w:ind w:left="1140" w:right="460" w:hanging="369"/>
        <w:spacing w:after="0" w:line="267"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Payors - </w:t>
      </w:r>
      <w:r>
        <w:rPr>
          <w:rFonts w:ascii="Times New Roman" w:cs="Times New Roman" w:eastAsia="Times New Roman" w:hAnsi="Times New Roman"/>
          <w:sz w:val="18"/>
          <w:szCs w:val="18"/>
          <w:color w:val="auto"/>
        </w:rPr>
        <w:t>We partner with payors to deliver access to high-quality outpatient mental healthcare to their members at scale. Through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scale, we offer payors a pathway to reduce overall cost of care in the broader healthcare system while supporting improved physical and mental health outcomes.</w:t>
      </w:r>
    </w:p>
    <w:p>
      <w:pPr>
        <w:spacing w:after="0" w:line="65" w:lineRule="exact"/>
        <w:rPr>
          <w:rFonts w:ascii="Times New Roman" w:cs="Times New Roman" w:eastAsia="Times New Roman" w:hAnsi="Times New Roman"/>
          <w:sz w:val="18"/>
          <w:szCs w:val="18"/>
          <w:color w:val="auto"/>
        </w:rPr>
      </w:pPr>
    </w:p>
    <w:p>
      <w:pPr>
        <w:ind w:left="1140" w:hanging="369"/>
        <w:spacing w:after="0" w:line="25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care and specialist physicians - </w:t>
      </w:r>
      <w:r>
        <w:rPr>
          <w:rFonts w:ascii="Times New Roman" w:cs="Times New Roman" w:eastAsia="Times New Roman" w:hAnsi="Times New Roman"/>
          <w:sz w:val="18"/>
          <w:szCs w:val="18"/>
          <w:color w:val="auto"/>
        </w:rPr>
        <w:t>We collaborate with primary care and specialist physicians to enhance patient care. Primary care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important setting for the treatment of mental health conditions—primary care physicians are often the sole contact of patients with a mental illness and, in many instances where patients have a chronic condition, specialist physicians step into the role of primary physicians. We partner with primary care physicians and specialist physician groups across the country to provide a mental healthcare network for referrals and, in certain instances, through virtual and physical co-location to improve the diagnosis and treatment of their patients.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Center Capacity and Visits Within Existing Centers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built a powerful organic growth engine that enables us to drive growth within our existing footprint.</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8"/>
          <w:szCs w:val="18"/>
          <w:i w:val="1"/>
          <w:iCs w:val="1"/>
          <w:color w:val="auto"/>
        </w:rPr>
        <w:t>Our Clinicians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we employed 7,424 psychiatrists, APNs, psychologists and therapists through our subsidiaries and supported practices. We generate revenue on a per visit basis (total revenue per visit ("TRPV")) as clinical services are rendered by our clinicians. We generate lower revenue and experience lower clinician productivity in periods that have fewer business days than other periods. We measure productivity by the number of visits that are performed by a clinician, which is driven by the time clinicians make available to see patients and our ability to fill clinician's schedules by attracting new patients, scheduling patients, and converting scheduled appointments to completed visits. Clinician productivity impacts our ability to generate revenue and also impacts clinician compensation, as clinician compensation is primarily driven by the number of visits provided by each clinician. Recruiting new clinicians and retaining existing clinicians enables us to see more patients by expanding our patient visit capacity.</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believe our dedicated employment model offers a superior value proposition compared to independent practice. Our network relationships provide clinicians with ready access to patients. We also enable clinicians to manage their own patient volumes. Our platform promotes a clinically-driven professional culture and streamlines patient access and care delivery, while optimizing practice administration processes through technology. We believe we are an employer of choice in mental health, allowing us to employ highly qualified clinicians.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we have significant opportunity to grow our employed clinician base from our current base of 7,424 clinicians employed through our subsidiaries and supported practices, as of December 31, 2024. We have developed a rigorous and exclusive in-house national clinician recruiting model that works closely with our regional clinical teams to select the best candidates and expand capacity in a timely manner. As we grow our clinician base, we can grow our business, expand access for our patients and our payors and invest in our platform to further reinforce our differentiated offering to clinicians. We have available physical capacity to add clinicians to our existing centers, as well as an opportunity to add new clinicians with the targeted roll-out of de novo centers. Our virtual care offering also allows clinicians to see more patients without investments in incremental physical space, expanding our patient visit capacity beyond in-person only levels.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Patients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believe our ability to attract and retain patients to drive growth in our visits and meet the availability of our clinician base will enable us to grow our revenue. We believe we have a significant opportunity to increase the number of patients we serve in our existing markets. In 2024, our clinicians treated more than 940,000 unique patients through approximately 7.9 million visits. We believe our ability to deliver more accessible, flexible, affordable and effective mental healthcare is a key driver of our patient growth. We believe we provide a superior and differentiated mental healthcare experience that integrates virtual and in-person care to deliver care in a convenient way for our patients, meeting our patients where they are. Our in-network payor relationships allow our patients to access affordable care without significant out-of-pocket cost or delays in receiving treatment. We treat mental health conditions across the outpatient spectrum through a clinical approach that focuses on improved patient outcomes. We support our patients throughout their care continuum with purpose-built technological capabilities, including online assessments, digital provider communication, and seamless internal referral and follow-up capabilities.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utilize multiple strategies to add new patients to our platform, including our primary care and specialist physician relationships, internal referrals from our clinicians, our payor relationships and our dedicated marketing efforts. We have established a large network of national, regional and local payors that enables their members to be referred to us as patients. Payors refer patients to our platform to drive improvement in health outcomes for their members, reduction in total medical costs and increased member satisfaction and retention. Within our markets, we partner with primary care practice groups, specialists, health systems and academic institutions to refer patients to our centers and clinicians. Our local referral marketing teams build and maintain relationships with our referring partner networks to create awareness of our platform and services, including the opening of new centers and the introduction of newly hired clinicians with appointment availability. We also use online marketing to develop our national brand to increase brand awareness and promote additional channels of patient recruitment.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Primary Care and Specialist Physician Referral Relationships</w:t>
      </w:r>
    </w:p>
    <w:p>
      <w:pPr>
        <w:spacing w:after="0" w:line="11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have built a powerful patient referral network through partnerships with primary care physicians and specialist physician groups across the country. We deliver value to our provider partners by offering a more efficient referral pathways, delivering improved outcomes for our shared patients, and enabling more integrated care and lower total healthcare costs. As we continue to scale nationally, we plan to partner with additional hospital systems, large primary care groups and other specialist groups to help streamline their mental health network needs and drive continued patient growth across our platform. Our vision over time is to further integrate our mental healthcare services with those of our medical provider partners. By co-locating and driving toward integration with primary care and specialty providers, we can enhance our clinicians' access to patients. We anticipate that we will continue to grow these relationships while evolving our offering toward a fully-integrated care model in which primary care and our mental health clinicians work together to develop and provide personalized treatment plans for shared patients. We believe these efforts will help to further align our model with that of other healthcare providers, increasing our value to them and driving new opportunities to partner to grow our patient base and revenue opportunities.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8"/>
          <w:szCs w:val="18"/>
          <w:i w:val="1"/>
          <w:iCs w:val="1"/>
          <w:color w:val="auto"/>
        </w:rPr>
        <w:t>Our Payors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payor relationships, including national contracts with multiple payors, allow access to our services through in-network coverage for their members. We believe the alignment of our model with our payor partners’ population health objectives encourages third-party payors to partner with us. We believe we deliver value to our payor partners in several ways, including access to a national clinician employee base, lower total medical costs, and stronger member and client value proposition through the offering of in-network mental health services. A majority of our revenue is derived from patients with commercial in-network insurance coverage – for the year ended December 31, 2024, our payor mix by revenue was 91% commercial in-network payors, 5% government payors, 3% self-pay and 1% non-patient services revenue. The strength of our payor relationships and our value proposition has historically allowed us to secure rate parity between in-person and virtual visits, either by contract or payor policy. To expand this network and grow access to covered patients, we continue to evaluate new payor relationships and national contracts where we believe the payor's policies and approach to mental healthcare align with our mission, while also seeking to drive regional rate improvement, including terminating certain of our lower-volume payor contracts to support continued investment in our differentiated model for delivering mental healthcare. We believe our payor relationships differentiate us from our competitors and are a critical factor in our ability to expand our market footprint in new regions by leveraging our existing national payor relationships. As we continue to grow, we believe our scale, breadth and access will continue to be enhanced, further strengthening the value of our platform to payors.</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part of our ongoing business operations, we renegotiate our existing payor contracts and enter into new payor contracts. Our results of operations can fluctuate based on the reimbursement rates resulting from these payor contract negotiations and renegotiations. To the extent that payors, particularly payors comprising a significant portion of our revenue, negotiate lower reimbursement rates or elect not to cover some or all of our services, our business and results of operations could be adversely impacted. See “Risk Factors—If reimbursement rates paid by third-party payors are reduced or if third-party payors otherwise restrain our ability to obtain or deliver care to patients, our business could be materially harmed.”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and Optimize our Center Base Within Existing and New Markets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believe we have built a powerful market growth engine that allows us to rapidly grow our presence within our markets and unlock potential latent demand through our differentiated scale, access and affordability.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 Novo Centers</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de novo center strategy is a central component of our organic growth engine to build our capacity and increase density in our existing metropolitan statistical areas. We believe there is a significant opportunity to use de novo center openings to address potential patient need in our existing markets and new markets that we have determined are attractive to enter. We systematically locate our centers within a given market to ensure convenient coverage for in-person access to care. We believe our successful de novo program and national clinician recruiting team can support additions of new centers and clinicians.</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continue to utilize a more sustainable design for all new de novo centers that reimagines the mental healthcare experience for both patients and clinicians while reinforcing our commitment to sustainability.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believe the highly fragmented nature of the mental health market provides us with a meaningful opportunity to selectively pursue acquisitions that meet our standards of high-quality clinical care and align with our mission. We believe our guiding principle of creating a national platform built with a patient and clinician focus makes us a partner of choice for smaller, independent practices. Our acquisition strategy has been deployed both to enter new markets and in our existing markets. In new markets, acquisitions have allowed us to establish a presence with high-quality practices with a track record of clinical excellence and in-network payor relationships that can be integrated into our national platform. In existing markets, acquisitions have allowed us to grow our geographic reach and clinician base to expand patient access.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Real Estate Optimization</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our expansion through de novo builds and acquisitions, in 2023, we announced a strategic re-focus, to prioritize resources and close certain centers as a direct result of changes to our business model driven by a shift to more virtual visits. As a result, we completed a significant reduction in physical space and exited several underoccupied offices by both negotiating terminations of and abandoning certain real estate leases during 2023. We plan to continue to optimize our real estate footprint on a go-forward basis as part of our recurring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 Margin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we grow our platform, we seek to generate consistent returns on our investments. See “—Key Metrics and Non-GAAP Financial Measures— Center Margin” for our definition of Center Margin and reconciliation to loss from operations. We believe this metric best reflects the economics of our model as it includes all direct expenses associated with our patients’ care. We seek to grow our Center Margin through a combination of (i) growing revenue through clinician hiring and retention, patient growth and engagement, hybrid virtual and in-person care, existing office expansion, and in-network reimbursement levels, and (ii) leveraging 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6" w:name="page47"/>
    <w:bookmarkEnd w:id="46"/>
    <w:p>
      <w:pPr>
        <w:ind w:right="560"/>
        <w:spacing w:after="0" w:line="282" w:lineRule="auto"/>
        <w:rPr>
          <w:sz w:val="20"/>
          <w:szCs w:val="20"/>
          <w:color w:val="auto"/>
        </w:rPr>
      </w:pPr>
      <w:r>
        <w:rPr>
          <w:rFonts w:ascii="Times New Roman" w:cs="Times New Roman" w:eastAsia="Times New Roman" w:hAnsi="Times New Roman"/>
          <w:sz w:val="18"/>
          <w:szCs w:val="18"/>
          <w:color w:val="auto"/>
        </w:rPr>
        <w:t>our fixed cost base at each center. For acquired centers, we also seek to realize operational, technology and reimbursement synergies to drive Center Margin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Non-GAAP Financial Measures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evaluate the growth of our footprint through a variety of metrics and indicators. The following table sets forth a summary of the key financial metrics we review to evaluate our business, measure our performance, identify trends affecting our business, formulate our business plan and make strategic decisions: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5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1,250,970</w:t>
            </w:r>
          </w:p>
        </w:tc>
        <w:tc>
          <w:tcPr>
            <w:tcW w:w="16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1,055,665</w:t>
            </w:r>
          </w:p>
        </w:tc>
        <w:tc>
          <w:tcPr>
            <w:tcW w:w="3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859,542</w:t>
            </w:r>
          </w:p>
        </w:tc>
        <w:tc>
          <w:tcPr>
            <w:tcW w:w="180" w:type="dxa"/>
            <w:vAlign w:val="bottom"/>
          </w:tcPr>
          <w:p>
            <w:pPr>
              <w:spacing w:after="0"/>
              <w:rPr>
                <w:sz w:val="18"/>
                <w:szCs w:val="18"/>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growth</w:t>
            </w: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(31,613 )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(189,134 )</w:t>
            </w:r>
          </w:p>
        </w:tc>
        <w:tc>
          <w:tcPr>
            <w:tcW w:w="3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(210,174 )</w:t>
            </w: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Center Margin</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402,399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302,096</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237,017</w:t>
            </w:r>
          </w:p>
        </w:tc>
        <w:tc>
          <w:tcPr>
            <w:tcW w:w="180" w:type="dxa"/>
            <w:vAlign w:val="bottom"/>
            <w:shd w:val="clear" w:color="auto" w:fill="CFF0FC"/>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(57,443 )</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(186,262 )</w:t>
            </w:r>
          </w:p>
        </w:tc>
        <w:tc>
          <w:tcPr>
            <w:tcW w:w="3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(215,564 )</w:t>
            </w:r>
          </w:p>
        </w:tc>
      </w:tr>
      <w:tr>
        <w:trPr>
          <w:trHeight w:val="21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119,742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59,042</w:t>
            </w: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52,670</w:t>
            </w:r>
          </w:p>
        </w:tc>
        <w:tc>
          <w:tcPr>
            <w:tcW w:w="18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Center Margin and Adjusted EBITDA are not measures of financial performance under generally accepted accounting principles ("GAAP") and are not intended to be substitutes for any GAAP financial measures, including revenue, loss from operations or net loss, and, as calculated, may not be comparable to companies in other industries or within the same industry with similarly titled measures of performance. Therefore, non-GAAP measures should be considered in addition to, not as a substitute for, or in isolation from, measures prepared in accordance with GAAP.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Center Margin</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define Center Margin as loss from operations excluding depreciation and amortization and general and administrative expenses. Therefore, Center Margin is computed by removing from loss from operations the costs that do not directly relate to the delivery of care and only including center costs, excluding depreciation and amortization. We consider Center Margin to be an important measure to monitor our performance relative to the direct costs of delivering care. We believe Center Margin is useful to investors to measure whether we are sufficiently controlling the direct costs of delivering care.</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Center Margin is not a financial measure of, nor does it imply, profitability. The relationship of loss from operations to center costs, excluding depreciation and amortization is not necessarily indicative of future profitability from operations. Center Margin excludes certain expenses, such as general and administrative expenses, and depreciation and amortization, which are considered normal, recurring operating expenses and are essential to support the operation and development of our centers. Therefore, this measure may not provide a complete understanding of the operating results of our Company as a whole, and Center Margin should be reviewed in conjunction with our GAAP financial results. Other companies that present Center Margin may calculate it differently and, therefore, similarly titled measures presented by other companies may not be directly comparable to ours. In addition, Center Margin has limitations as an analytical tool, including that it does not reflect depreciation and amortization or other overhead allocations.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loss from operations, the most closely comparable GAAP financial measure, to Center Margin: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(31,613 )</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(189,134 )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(210,174 )</w:t>
            </w:r>
          </w:p>
        </w:tc>
      </w:tr>
      <w:tr>
        <w:trPr>
          <w:trHeight w:val="216"/>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gridSpan w:val="2"/>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24"/>
                <w:szCs w:val="24"/>
                <w:color w:val="auto"/>
                <w:vertAlign w:val="superscript"/>
              </w:rPr>
              <w:t>(1)</w:t>
            </w: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363,062</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410,793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Center Margin</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402,399</w:t>
            </w:r>
          </w:p>
        </w:tc>
        <w:tc>
          <w:tcPr>
            <w:tcW w:w="8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302,096</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237,017</w:t>
            </w:r>
          </w:p>
        </w:tc>
        <w:tc>
          <w:tcPr>
            <w:tcW w:w="10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-265430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-265430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ind w:left="520" w:right="5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salaries, wages and employee benefits for our executive leadership, finance, human resources, marketing, billing and credentialing support and technology infrastructure and stock-based compensation for all employees.</w:t>
      </w:r>
    </w:p>
    <w:p>
      <w:pPr>
        <w:spacing w:after="0" w:line="4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performance measure, to supplement our results of operations presented in accordance with generally accepted accounting principles, or GAAP. We believe Adjusted EBITDA is useful in evaluating our operating performance, and may be helpful to securities analysts, institutional investors and other interested parties in understanding our operating performance and prospects. Adjusted EBITDA is not intended to be a substitute for any GAAP financial measure and, as calculated, may not be comparable to companies in other industries or within the same industry with similarly titled measures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500"/>
        <w:spacing w:after="0" w:line="282" w:lineRule="auto"/>
        <w:rPr>
          <w:sz w:val="20"/>
          <w:szCs w:val="20"/>
          <w:color w:val="auto"/>
        </w:rPr>
      </w:pPr>
      <w:r>
        <w:rPr>
          <w:rFonts w:ascii="Times New Roman" w:cs="Times New Roman" w:eastAsia="Times New Roman" w:hAnsi="Times New Roman"/>
          <w:sz w:val="18"/>
          <w:szCs w:val="18"/>
          <w:color w:val="auto"/>
        </w:rPr>
        <w:t>performance. Therefore, our Adjusted EBITDA should be considered in addition to, not as a substitute for, or in isolation from, measures prepared in accordance with GAAP, such as net income or loss.</w:t>
      </w:r>
    </w:p>
    <w:p>
      <w:pPr>
        <w:spacing w:after="0" w:line="54"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loss excluding interest expense, depreciation and amortization, income tax benefit, (gain) loss on remeasurement of contingent consideration, stock-based compensation, loss on disposal of assets, transaction costs, executive transition costs, litigation costs, strategic initiatives, real estate optimization and restructuring charges, amortization of cloud-based software implementation costs, and other expenses. We include Adjusted EBITDA in this Annual Report because it is an important measure upon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However, Adjusted EBITDA has limitations as an analytical tool, including:</w:t>
      </w:r>
    </w:p>
    <w:p>
      <w:pPr>
        <w:spacing w:after="0" w:line="117" w:lineRule="exact"/>
        <w:rPr>
          <w:sz w:val="20"/>
          <w:szCs w:val="20"/>
          <w:color w:val="auto"/>
        </w:rPr>
      </w:pPr>
    </w:p>
    <w:p>
      <w:pPr>
        <w:ind w:left="1660" w:right="60" w:hanging="379"/>
        <w:spacing w:after="0" w:line="266" w:lineRule="auto"/>
        <w:tabs>
          <w:tab w:leader="none" w:pos="1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used for capital expenditures for such replacements or for new capital expenditures;</w:t>
      </w:r>
    </w:p>
    <w:p>
      <w:pPr>
        <w:spacing w:after="0" w:line="67" w:lineRule="exact"/>
        <w:rPr>
          <w:rFonts w:ascii="Times New Roman" w:cs="Times New Roman" w:eastAsia="Times New Roman" w:hAnsi="Times New Roman"/>
          <w:sz w:val="18"/>
          <w:szCs w:val="18"/>
          <w:color w:val="auto"/>
        </w:rPr>
      </w:pPr>
    </w:p>
    <w:p>
      <w:pPr>
        <w:ind w:left="1660" w:right="520" w:hanging="379"/>
        <w:spacing w:after="0" w:line="282" w:lineRule="auto"/>
        <w:tabs>
          <w:tab w:leader="none" w:pos="1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include the dilution that results from equity-based compensation or any cash outflows included in equity-based compensation, including from our repurchases of shares of outstanding common stock; and</w:t>
      </w:r>
    </w:p>
    <w:p>
      <w:pPr>
        <w:spacing w:after="0" w:line="53" w:lineRule="exact"/>
        <w:rPr>
          <w:rFonts w:ascii="Times New Roman" w:cs="Times New Roman" w:eastAsia="Times New Roman" w:hAnsi="Times New Roman"/>
          <w:sz w:val="18"/>
          <w:szCs w:val="18"/>
          <w:color w:val="auto"/>
        </w:rPr>
      </w:pPr>
    </w:p>
    <w:p>
      <w:pPr>
        <w:ind w:left="1660" w:right="260" w:hanging="379"/>
        <w:spacing w:after="0" w:line="282" w:lineRule="auto"/>
        <w:tabs>
          <w:tab w:leader="none" w:pos="1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on our debt or the cash requirements necessary to service interest or principal payments.</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net loss to Adjusted EBITDA is presented below for the periods indicated. We encourage investors and others to review our financial information in its entirety, not to rely on any single financial measure and to view Adjusted EBITDA in conjunction with net loss.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(57,443 )</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(186,262 )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(215,564 )</w:t>
            </w:r>
          </w:p>
        </w:tc>
      </w:tr>
      <w:tr>
        <w:trPr>
          <w:trHeight w:val="216"/>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for:</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80,437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10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(20,321 )</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(17,166 )</w:t>
            </w:r>
          </w:p>
        </w:tc>
      </w:tr>
      <w:tr>
        <w:trPr>
          <w:trHeight w:val="198"/>
        </w:trPr>
        <w:tc>
          <w:tcPr>
            <w:tcW w:w="5560" w:type="dxa"/>
            <w:vAlign w:val="bottom"/>
            <w:gridSpan w:val="2"/>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(Gain) loss on remeasurement of contingent</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consideration</w:t>
            </w:r>
          </w:p>
        </w:tc>
        <w:tc>
          <w:tcPr>
            <w:tcW w:w="10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(1,725 )</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(3,972 )</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FF0FC"/>
          </w:tcPr>
          <w:p>
            <w:pPr>
              <w:spacing w:after="0"/>
              <w:rPr>
                <w:sz w:val="20"/>
                <w:szCs w:val="20"/>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187,430</w:t>
            </w: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24"/>
                <w:szCs w:val="24"/>
                <w:color w:val="auto"/>
                <w:vertAlign w:val="superscript"/>
              </w:rPr>
              <w:t>(1)</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Executive transition costs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Litigation costs </w:t>
            </w:r>
            <w:r>
              <w:rPr>
                <w:rFonts w:ascii="Times New Roman" w:cs="Times New Roman" w:eastAsia="Times New Roman" w:hAnsi="Times New Roman"/>
                <w:sz w:val="24"/>
                <w:szCs w:val="24"/>
                <w:color w:val="auto"/>
                <w:vertAlign w:val="superscript"/>
              </w:rPr>
              <w:t>(2)</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Strategic initiatives </w:t>
            </w:r>
            <w:r>
              <w:rPr>
                <w:rFonts w:ascii="Times New Roman" w:cs="Times New Roman" w:eastAsia="Times New Roman" w:hAnsi="Times New Roman"/>
                <w:sz w:val="24"/>
                <w:szCs w:val="24"/>
                <w:color w:val="auto"/>
                <w:vertAlign w:val="superscript"/>
              </w:rPr>
              <w:t>(3)</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560" w:type="dxa"/>
            <w:vAlign w:val="bottom"/>
            <w:gridSpan w:val="2"/>
          </w:tcPr>
          <w:p>
            <w:pPr>
              <w:ind w:left="200"/>
              <w:spacing w:after="0" w:line="177" w:lineRule="exact"/>
              <w:rPr>
                <w:sz w:val="20"/>
                <w:szCs w:val="20"/>
                <w:color w:val="auto"/>
              </w:rPr>
            </w:pPr>
            <w:r>
              <w:rPr>
                <w:rFonts w:ascii="Times New Roman" w:cs="Times New Roman" w:eastAsia="Times New Roman" w:hAnsi="Times New Roman"/>
                <w:sz w:val="18"/>
                <w:szCs w:val="18"/>
                <w:color w:val="auto"/>
              </w:rPr>
              <w:t>Real estate optimization and restructuring</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4"/>
        </w:trPr>
        <w:tc>
          <w:tcPr>
            <w:tcW w:w="5560" w:type="dxa"/>
            <w:vAlign w:val="bottom"/>
            <w:gridSpan w:val="2"/>
          </w:tcPr>
          <w:p>
            <w:pPr>
              <w:ind w:left="300"/>
              <w:spacing w:after="0" w:line="255" w:lineRule="exact"/>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4"/>
                <w:szCs w:val="24"/>
                <w:color w:val="auto"/>
                <w:vertAlign w:val="superscript"/>
              </w:rPr>
              <w:t>(4)</w:t>
            </w:r>
          </w:p>
        </w:tc>
        <w:tc>
          <w:tcPr>
            <w:tcW w:w="104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(309 )</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560" w:type="dxa"/>
            <w:vAlign w:val="bottom"/>
            <w:gridSpan w:val="2"/>
            <w:shd w:val="clear" w:color="auto" w:fill="CFF0FC"/>
          </w:tcPr>
          <w:p>
            <w:pPr>
              <w:ind w:left="200"/>
              <w:spacing w:after="0" w:line="177" w:lineRule="exact"/>
              <w:rPr>
                <w:sz w:val="20"/>
                <w:szCs w:val="20"/>
                <w:color w:val="auto"/>
              </w:rPr>
            </w:pPr>
            <w:r>
              <w:rPr>
                <w:rFonts w:ascii="Times New Roman" w:cs="Times New Roman" w:eastAsia="Times New Roman" w:hAnsi="Times New Roman"/>
                <w:sz w:val="18"/>
                <w:szCs w:val="18"/>
                <w:color w:val="auto"/>
              </w:rPr>
              <w:t>Amortization of cloud-based software</w:t>
            </w: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4"/>
        </w:trPr>
        <w:tc>
          <w:tcPr>
            <w:tcW w:w="5560" w:type="dxa"/>
            <w:vAlign w:val="bottom"/>
            <w:gridSpan w:val="2"/>
            <w:shd w:val="clear" w:color="auto" w:fill="CFF0FC"/>
          </w:tcPr>
          <w:p>
            <w:pPr>
              <w:ind w:left="300"/>
              <w:spacing w:after="0" w:line="255" w:lineRule="exact"/>
              <w:rPr>
                <w:sz w:val="20"/>
                <w:szCs w:val="20"/>
                <w:color w:val="auto"/>
              </w:rPr>
            </w:pPr>
            <w:r>
              <w:rPr>
                <w:rFonts w:ascii="Times New Roman" w:cs="Times New Roman" w:eastAsia="Times New Roman" w:hAnsi="Times New Roman"/>
                <w:sz w:val="18"/>
                <w:szCs w:val="18"/>
                <w:color w:val="auto"/>
              </w:rPr>
              <w:t xml:space="preserve">implementation costs </w:t>
            </w:r>
            <w:r>
              <w:rPr>
                <w:rFonts w:ascii="Times New Roman" w:cs="Times New Roman" w:eastAsia="Times New Roman" w:hAnsi="Times New Roman"/>
                <w:sz w:val="24"/>
                <w:szCs w:val="24"/>
                <w:color w:val="auto"/>
                <w:vertAlign w:val="superscript"/>
              </w:rPr>
              <w:t>(5)</w:t>
            </w:r>
          </w:p>
        </w:tc>
        <w:tc>
          <w:tcPr>
            <w:tcW w:w="104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4"/>
                <w:szCs w:val="24"/>
                <w:color w:val="auto"/>
                <w:vertAlign w:val="superscript"/>
              </w:rPr>
              <w:t>(6)</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18"/>
                <w:szCs w:val="18"/>
                <w:color w:val="auto"/>
              </w:rPr>
            </w:pPr>
          </w:p>
        </w:tc>
      </w:tr>
      <w:tr>
        <w:trPr>
          <w:trHeight w:val="250"/>
        </w:trPr>
        <w:tc>
          <w:tcPr>
            <w:tcW w:w="5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119,742</w:t>
            </w:r>
          </w:p>
        </w:tc>
        <w:tc>
          <w:tcPr>
            <w:tcW w:w="8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59,042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52,670</w:t>
            </w:r>
          </w:p>
        </w:tc>
        <w:tc>
          <w:tcPr>
            <w:tcW w:w="100" w:type="dxa"/>
            <w:vAlign w:val="bottom"/>
            <w:shd w:val="clear" w:color="auto" w:fill="CFF0FC"/>
          </w:tcPr>
          <w:p>
            <w:pPr>
              <w:spacing w:after="0"/>
              <w:rPr>
                <w:sz w:val="21"/>
                <w:szCs w:val="21"/>
                <w:color w:val="auto"/>
              </w:rPr>
            </w:pPr>
          </w:p>
        </w:tc>
      </w:tr>
      <w:tr>
        <w:trPr>
          <w:trHeight w:val="115"/>
        </w:trPr>
        <w:tc>
          <w:tcPr>
            <w:tcW w:w="3740" w:type="dxa"/>
            <w:vAlign w:val="bottom"/>
            <w:tcBorders>
              <w:top w:val="single" w:sz="8" w:color="CFF0FC"/>
              <w:bottom w:val="single" w:sz="8" w:color="auto"/>
            </w:tcBorders>
          </w:tcPr>
          <w:p>
            <w:pPr>
              <w:spacing w:after="0"/>
              <w:rPr>
                <w:sz w:val="10"/>
                <w:szCs w:val="10"/>
                <w:color w:val="auto"/>
              </w:rPr>
            </w:pPr>
          </w:p>
        </w:tc>
        <w:tc>
          <w:tcPr>
            <w:tcW w:w="1820" w:type="dxa"/>
            <w:vAlign w:val="bottom"/>
            <w:tcBorders>
              <w:top w:val="single" w:sz="8" w:color="CFF0FC"/>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-119380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-102235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-119380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-102235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ind w:left="520" w:right="340" w:hanging="512"/>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capital markets advisory, consulting, accounting and legal expenses related to our acquisitions and to our underwritten public offering completed in the second quarter of 2024.</w:t>
      </w:r>
    </w:p>
    <w:p>
      <w:pPr>
        <w:ind w:left="520" w:right="40" w:hanging="512"/>
        <w:spacing w:after="0" w:line="250"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include only those costs which are considered non-recurring and outside of the ordinary course of business based on the following considerations, which we assess regularly: (i) the frequency of similar cases that have been brought to date, or are expected to be brought within two years, (ii) the complexity of the case (e.g., complex class action litigation), (iii) the nature of the remedy(ies) sought, including the size of any monetary damages sought, (iv) the counterparty involved, and (v) our overall litigation strategy. During the years ended December 31, 2024, 2023 and 2022, litigation costs included cash expenses related to three distinct litigation matters, including (x) a securities class action litigation, (y) a privacy class action litigation and (z) a compensation model class action litigation. For a discussion of certain legal proceedings in which we are involved, please read Note 13, Commitments and Contingencies, to our consolidated financial statements included in Part IV, Item 15, of this</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left="520" w:right="160" w:hanging="512"/>
        <w:spacing w:after="0" w:line="253"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initiatives consist of expenses directly related to a multi-phase system upgrade in connection with our recent and significant expansion. During the years ended December 31, 2024 and 2023, we continued a process of evaluating and adopting critical enterprise-wide systems for (i) human resources management, (ii) clinician credentialing and onboarding process, and for the year ended December 31, 2023, (iii) a scalable electronic health resources system. Strategic initiatives represents costs, such as third-party consulting costs and one-time costs, that are not part of our ongoing operations related to these enterprise-wide systems. We considered the frequency and scale of this multi-part enterprise upgrade when determining that the expenses were not normal, recurring operating expenses.</w:t>
      </w:r>
    </w:p>
    <w:p>
      <w:pPr>
        <w:spacing w:after="0" w:line="5"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optimization and restructuring charges consist of cash expenses and non-cash charges related to our real estate optimization initiative, which include certain asset impairment and disposal costs, certain gains and losses related to early lease terminations, and exit and disposal costs related to our real estate optimization initiative to consolidate our physical footprint for the year ended December 31, 2023. As the decision to close these centers was part of a significant strategic project driven by a historic shift in behavior, the magnitude of center closures was greater than what would be expected as part of ordinary business operations and did not constitute normal recurring operating activities. During the year ended December 31, 2024, real estate optimization and restructuring charges consisted of certain gains and losses related to early lease terminations of previously abandoned real estate leases in 2023. For a discussion of our real estate optimization initiative, please read Note 5, Leases, to our consolidated financial statements included in Part IV, Item 15, of this Annual Report on Form 10-K.</w:t>
      </w:r>
    </w:p>
    <w:p>
      <w:pPr>
        <w:spacing w:after="0" w:line="3" w:lineRule="exact"/>
        <w:rPr>
          <w:rFonts w:ascii="Times New Roman" w:cs="Times New Roman" w:eastAsia="Times New Roman" w:hAnsi="Times New Roman"/>
          <w:sz w:val="18"/>
          <w:szCs w:val="18"/>
          <w:color w:val="auto"/>
        </w:rPr>
      </w:pPr>
    </w:p>
    <w:p>
      <w:pPr>
        <w:ind w:left="520" w:right="440" w:hanging="512"/>
        <w:spacing w:after="0" w:line="250"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general and administrative expenses included in our consolidated statements of operations and comprehensive loss.</w:t>
      </w:r>
    </w:p>
    <w:p>
      <w:pPr>
        <w:ind w:left="520" w:right="20" w:hanging="512"/>
        <w:spacing w:after="0" w:line="25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costs incurred to consummate or integrate acquired centers, certain of which are wholly-owned and certain of which are supported practices, in addition to the compensation paid to former owners of acquired centers and related expenses that are not reflective of the ongoing operating expenses of our centers. Acquired center integration and other are components of general and administrative expenses included in our consolidated statements of operations and comprehensive loss. Former owner fees is a component of center costs, excluding depreciation and amortization included in our consolidated statements of operations and comprehensive loss. These costs are summarized for each period in the table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Acquired center integration </w:t>
            </w:r>
            <w:r>
              <w:rPr>
                <w:rFonts w:ascii="Times New Roman" w:cs="Times New Roman" w:eastAsia="Times New Roman" w:hAnsi="Times New Roman"/>
                <w:sz w:val="24"/>
                <w:szCs w:val="24"/>
                <w:color w:val="auto"/>
                <w:vertAlign w:val="superscript"/>
              </w:rPr>
              <w:t>(1)</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8"/>
                <w:szCs w:val="18"/>
                <w:color w:val="auto"/>
              </w:rPr>
            </w:pPr>
          </w:p>
        </w:tc>
      </w:tr>
      <w:tr>
        <w:trPr>
          <w:trHeight w:val="216"/>
        </w:trPr>
        <w:tc>
          <w:tcPr>
            <w:tcW w:w="556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Former owner fees </w:t>
            </w:r>
            <w:r>
              <w:rPr>
                <w:rFonts w:ascii="Times New Roman" w:cs="Times New Roman" w:eastAsia="Times New Roman" w:hAnsi="Times New Roman"/>
                <w:sz w:val="24"/>
                <w:szCs w:val="24"/>
                <w:color w:val="auto"/>
                <w:vertAlign w:val="superscript"/>
              </w:rPr>
              <w:t>(2)</w:t>
            </w: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(3)</w:t>
            </w: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8"/>
                <w:szCs w:val="18"/>
                <w:color w:val="auto"/>
              </w:rPr>
            </w:pPr>
          </w:p>
        </w:tc>
      </w:tr>
      <w:tr>
        <w:trPr>
          <w:trHeight w:val="250"/>
        </w:trPr>
        <w:tc>
          <w:tcPr>
            <w:tcW w:w="5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4,091</w:t>
            </w:r>
          </w:p>
        </w:tc>
        <w:tc>
          <w:tcPr>
            <w:tcW w:w="100" w:type="dxa"/>
            <w:vAlign w:val="bottom"/>
            <w:shd w:val="clear" w:color="auto" w:fill="CFF0FC"/>
          </w:tcPr>
          <w:p>
            <w:pPr>
              <w:spacing w:after="0"/>
              <w:rPr>
                <w:sz w:val="21"/>
                <w:szCs w:val="21"/>
                <w:color w:val="auto"/>
              </w:rPr>
            </w:pPr>
          </w:p>
        </w:tc>
      </w:tr>
      <w:tr>
        <w:trPr>
          <w:trHeight w:val="115"/>
        </w:trPr>
        <w:tc>
          <w:tcPr>
            <w:tcW w:w="3740" w:type="dxa"/>
            <w:vAlign w:val="bottom"/>
            <w:tcBorders>
              <w:top w:val="single" w:sz="8" w:color="CFF0FC"/>
              <w:bottom w:val="single" w:sz="8" w:color="auto"/>
            </w:tcBorders>
          </w:tcPr>
          <w:p>
            <w:pPr>
              <w:spacing w:after="0"/>
              <w:rPr>
                <w:sz w:val="10"/>
                <w:szCs w:val="10"/>
                <w:color w:val="auto"/>
              </w:rPr>
            </w:pPr>
          </w:p>
        </w:tc>
        <w:tc>
          <w:tcPr>
            <w:tcW w:w="1820" w:type="dxa"/>
            <w:vAlign w:val="bottom"/>
            <w:tcBorders>
              <w:top w:val="single" w:sz="8" w:color="CFF0FC"/>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-119380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-102235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-119380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-102235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ind w:left="520" w:right="120" w:hanging="512"/>
        <w:spacing w:after="0" w:line="26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pre- and post-center acquisition to integrate operations, including expenses related to conversion of compensation model, legacy system costs and data migration, consulting and legal services, and overtime and temporary labor costs.</w:t>
      </w:r>
    </w:p>
    <w:p>
      <w:pPr>
        <w:ind w:left="520" w:right="32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short-term agreements, generally with terms of three to six months, with former owners of acquired centers, to provide transition and integration services.</w:t>
      </w: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severance expense unrelated to integration services.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Revenue and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Total revenue consists primarily of consideration we expect to be entitled to in exchange for all patient activities. We bill each patient or third-party payor on a fee-for-service basis as services are rendered. Revenue is recognized as performance obligations are satisfied. Performance obligations are determined based on the nature of the services provided, and generally each individual counseling session is a performance obligation.</w:t>
      </w:r>
    </w:p>
    <w:p>
      <w:pPr>
        <w:spacing w:after="0" w:line="68"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We have relationships with third-party payors. We determine the transaction price under these contracts based on standard charges for services provided net of price concessions related to contractual adjustments provided to third-party payors, discounts provided to uninsured patients in accordance with our policy and/or implicit price concessions provided to patients. The differences between the price at which we expect to receive from patients and the standard billing rates are accounted for as contractual adjustments, discounts or implicit price concessions, which are deducted from gross revenue to arrive at net revenues. Contractual adjustments, discounts and implicit price concessions are based on contractual agreements, discount policies and historical experience. We use historical patient visit rates, our historical mix of services performed and current reimbursement rates to help us analyze and explain historical patient service revenue. To achieve efficiencies and provide consistent access to care for patients across the country, we may negotiate regional or national contracts with certain payors in lieu of location specific agreements. Some of our third-party payor contracts are inherited through acquisitions of practices with existing contracts where we did not have an existing relationship with that payor in the market. During the years ended December 31, 2024, 2023 and 2022, two payors individually exceeded 10% of our revenue. Our payor relationships generally operate across multiple independent regional contracts. We have patients covered by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third-party payors, which include commercial health insurers and governmental payors under programs such as Medicare, and uninsured patients.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payors and uninsured patients account for a small portion of our total revenue.</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Center costs, excluding depreciation and amortization</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Center costs, excluding depreciation and amortization includes the costs we incur to operate our centers, consisting primarily of salaries, wages and employee benefits for clinicians and patient support, occupancy costs such as rent and utilities, medical supplies, insurance and other operating expenses. Center costs, excluding depreciation and amortization do not include an allocation of general and administrative expenses noted below, as they are not directly related to the act of seeing patients or providing care at our centers. Clinicians include psychiatrists, APNs, psychologists and therapists. Patient support employees include welcome coordinators and clinical technicians.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wages and employee benefits for our executive leadership, finance, human resources, marketing, billing and credentialing support and technology infrastructure and stock-based compensation for all employees. In addition, general and administrative expenses include insurance and corporate occupancy costs.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primarily of depreciation on leasehold improvements and other fixed assets as well as amortization on trade name and non-competition agreement intangibles.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expense consists primarily of gains and losses on remeasurement of a contingent consideration liability where the performance condition was not met or likelihood of payment increases, transaction costs related to legal, consulting and other expenses, interest expense on our credit facilities and amortization of discount and debt issue costs.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Deferred income taxes reflect the net tax effects of temporary differences between the carrying amounts of assets and liabilities for financial reporting purposes and the amounts used for income tax purposes. Valuation allowances are provided when necessary to reduce net deferred tax assets to an amount that is more likely than not to be realized.</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determining whether a valuation allowance for deferred tax assets is necessary, we analyze both positive and negative evidence related to the realization of deferred tax assets and inherent in that, assess the likelihood of sufficient future taxable income. We also consider the expected reversal of deferred tax liabilities and analyze the period in which these would be expected to reverse to determine whether the taxable temporary difference amounts serve as an adequate source of future taxable income to support the realizability of the deferred tax assets.</w:t>
      </w:r>
    </w:p>
    <w:p>
      <w:pPr>
        <w:spacing w:after="0" w:line="72" w:lineRule="exact"/>
        <w:rPr>
          <w:sz w:val="20"/>
          <w:szCs w:val="20"/>
          <w:color w:val="auto"/>
        </w:rPr>
      </w:pPr>
    </w:p>
    <w:p>
      <w:pPr>
        <w:ind w:right="580" w:firstLine="509"/>
        <w:spacing w:after="0" w:line="261" w:lineRule="auto"/>
        <w:rPr>
          <w:sz w:val="20"/>
          <w:szCs w:val="20"/>
          <w:color w:val="auto"/>
        </w:rPr>
      </w:pPr>
      <w:r>
        <w:rPr>
          <w:rFonts w:ascii="Times New Roman" w:cs="Times New Roman" w:eastAsia="Times New Roman" w:hAnsi="Times New Roman"/>
          <w:sz w:val="18"/>
          <w:szCs w:val="18"/>
          <w:color w:val="auto"/>
        </w:rPr>
        <w:t>Future acquisitions or divestitures may impact jurisdictions in which the Company operates which may impact the jurisdictions in which the Company is subject to income tax.</w:t>
      </w: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financial results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1,250,970</w:t>
            </w:r>
          </w:p>
        </w:tc>
        <w:tc>
          <w:tcPr>
            <w:tcW w:w="8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1,055,665</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859,542</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55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Center costs, excluding depreciation and amortization</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shown separately below</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753,569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622,525</w:t>
            </w:r>
          </w:p>
        </w:tc>
        <w:tc>
          <w:tcPr>
            <w:tcW w:w="100" w:type="dxa"/>
            <w:vAlign w:val="bottom"/>
          </w:tcPr>
          <w:p>
            <w:pPr>
              <w:spacing w:after="0"/>
              <w:rPr>
                <w:sz w:val="20"/>
                <w:szCs w:val="20"/>
                <w:color w:val="auto"/>
              </w:rPr>
            </w:pP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363,062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410,793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377,993</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80,437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00" w:type="dxa"/>
            <w:vAlign w:val="bottom"/>
          </w:tcPr>
          <w:p>
            <w:pPr>
              <w:spacing w:after="0"/>
              <w:rPr>
                <w:sz w:val="18"/>
                <w:szCs w:val="18"/>
                <w:color w:val="auto"/>
              </w:rPr>
            </w:pPr>
          </w:p>
        </w:tc>
      </w:tr>
      <w:tr>
        <w:trPr>
          <w:trHeight w:val="210"/>
        </w:trPr>
        <w:tc>
          <w:tcPr>
            <w:tcW w:w="5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1,282,583</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1,244,799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1,069,716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(31,613 )</w:t>
            </w:r>
          </w:p>
        </w:tc>
        <w:tc>
          <w:tcPr>
            <w:tcW w:w="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(189,134 )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(210,174 )</w:t>
            </w: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55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Gain (loss) on remeasurement of contingent</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consideration</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(1,688 )</w:t>
            </w: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(827 )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(722 )</w:t>
            </w: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(26,535 )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(21,220 )</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(19,928 )</w:t>
            </w:r>
          </w:p>
        </w:tc>
      </w:tr>
      <w:tr>
        <w:trPr>
          <w:trHeight w:val="216"/>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(218 )</w:t>
            </w:r>
          </w:p>
        </w:tc>
      </w:tr>
      <w:tr>
        <w:trPr>
          <w:trHeight w:val="20"/>
        </w:trPr>
        <w:tc>
          <w:tcPr>
            <w:tcW w:w="55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(26,000 )</w:t>
            </w:r>
          </w:p>
        </w:tc>
        <w:tc>
          <w:tcPr>
            <w:tcW w:w="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(22,556 )</w:t>
            </w:r>
          </w:p>
        </w:tc>
      </w:tr>
      <w:tr>
        <w:trPr>
          <w:trHeight w:val="20"/>
        </w:trPr>
        <w:tc>
          <w:tcPr>
            <w:tcW w:w="5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(57,613 )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(206,583 )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(232,730 )</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100" w:type="dxa"/>
            <w:vAlign w:val="bottom"/>
          </w:tcPr>
          <w:p>
            <w:pPr>
              <w:spacing w:after="0"/>
              <w:rPr>
                <w:sz w:val="18"/>
                <w:szCs w:val="18"/>
                <w:color w:val="auto"/>
              </w:rPr>
            </w:pPr>
          </w:p>
        </w:tc>
      </w:tr>
      <w:tr>
        <w:trPr>
          <w:trHeight w:val="23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(57,443 )</w:t>
            </w:r>
          </w:p>
        </w:tc>
        <w:tc>
          <w:tcPr>
            <w:tcW w:w="5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(186,262 )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(215,564 )</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-1567815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-1567815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-599440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-599440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Total revenue increased $195.3 million, or 19%, to $1,251.0 million for the year ended December 31, 2024 from $1,055.7 million for the year ended December 31, 2023. This was primarily due to an increase of $194.1 million of patient service revenue and $1.2 million of nonpatient revenue. The increase in patient service revenue was mainly due to a net increase of 779 in total clinicians from organic hiring, resulting in an increase in patient visits of 1.0 million, or 15%. Additionally, TRPV increased year-over-year primarily driven by modest payor rate increases.</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anticipate revenue growth to continue to be driven by our in-house clinician recruiting and de novo strategies as well as our ability to increase patient visits at existing centers through our ability to accommodate virtual sessions in addition to our in-person visits.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Center costs, excluding depreciation and amortization</w:t>
      </w:r>
    </w:p>
    <w:p>
      <w:pPr>
        <w:spacing w:after="0" w:line="119"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Center costs, excluding depreciation and amortization increased $95.0 million, or 13%, to $848.6 million for the year ended December 31, 2024 from $753.6 million for the year ended December 31, 2023. This was primarily due to a $91.8 million increase in center-based compensation due to the increase in patient visits of 1.0 million from the increase in the total number of clinicians from organic hiring. In addition, occupancy costs consisting of center rent and utilities and other center operating expenses consisting of office supplies and insurance contributed to the increase of $3.2 million.</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expect our center costs, excluding depreciation and amortization to continue to increase in the short- to medium-term as we strategically invest to expand our business through our in-house clinician recruiting and de novo strategies and to potentially capture more of our market opportunity.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decreased $47.7 million, or 12%, to $363.1 million for the year ended December 31, 2024 from $410.8 million for the year ended December 31, 2023. This was primarily due to a decrease of $36.0 million in other operating expenses primarily as a result of professional fees and legal expenses related to the settlement of our shareholder class action lawsuit during the year ended December 31, 2023 with no similar expense during the year ended December 31, 2024. In addition, there was a decrease of $23.2 million in stock-based compensation expense primarily relating to RSAs and RSUs granted at the time of IPO without a similar expense in 2024, which was offset by an increase in salaries, wages and employee benefits of $22.4 million. Further, there was a decrease in third-party consulting costs and one-time costs associated with our strategic initiatives of $2.6 million related to the multi-phase system upgrade in connection with our recent and significant expansion and a decrease of $8.3 million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ind w:right="520"/>
        <w:spacing w:after="0" w:line="282" w:lineRule="auto"/>
        <w:rPr>
          <w:sz w:val="20"/>
          <w:szCs w:val="20"/>
          <w:color w:val="auto"/>
        </w:rPr>
      </w:pPr>
      <w:r>
        <w:rPr>
          <w:rFonts w:ascii="Times New Roman" w:cs="Times New Roman" w:eastAsia="Times New Roman" w:hAnsi="Times New Roman"/>
          <w:sz w:val="18"/>
          <w:szCs w:val="18"/>
          <w:color w:val="auto"/>
        </w:rPr>
        <w:t>occupancy costs primarily related to our real estate optimization and restructuring charges during the year ended December 31, 2023 with no similar expense during the year ended December 31, 2024.</w:t>
      </w:r>
    </w:p>
    <w:p>
      <w:pPr>
        <w:spacing w:after="0" w:line="54" w:lineRule="exact"/>
        <w:rPr>
          <w:sz w:val="20"/>
          <w:szCs w:val="20"/>
          <w:color w:val="auto"/>
        </w:rPr>
      </w:pPr>
    </w:p>
    <w:p>
      <w:pPr>
        <w:ind w:left="520" w:right="40"/>
        <w:spacing w:after="0" w:line="375" w:lineRule="auto"/>
        <w:rPr>
          <w:sz w:val="20"/>
          <w:szCs w:val="20"/>
          <w:color w:val="auto"/>
        </w:rPr>
      </w:pPr>
      <w:r>
        <w:rPr>
          <w:rFonts w:ascii="Times New Roman" w:cs="Times New Roman" w:eastAsia="Times New Roman" w:hAnsi="Times New Roman"/>
          <w:sz w:val="18"/>
          <w:szCs w:val="18"/>
          <w:color w:val="auto"/>
        </w:rPr>
        <w:t xml:space="preserve">We expect our general and administrative expenses to increase in the foreseeable future due to our planned investments to support company growth. </w:t>
      </w:r>
      <w:r>
        <w:rPr>
          <w:rFonts w:ascii="Times New Roman" w:cs="Times New Roman" w:eastAsia="Times New Roman" w:hAnsi="Times New Roman"/>
          <w:sz w:val="18"/>
          <w:szCs w:val="18"/>
          <w:i w:val="1"/>
          <w:iCs w:val="1"/>
          <w:color w:val="auto"/>
        </w:rPr>
        <w:t>Depreciation and amortization</w:t>
      </w:r>
    </w:p>
    <w:p>
      <w:pPr>
        <w:spacing w:after="0" w:line="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decreased $9.4 million to $71.0 million for the year ended December 31, 2024 from $80.4 million for the year ended December 31, 2023. This was primarily due to the amortization of intangibles and depreciation during the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$5.3 million to $26.5 million for the year ended December 31, 2024 from $21.2 million for the year ended December 31, 2023. This increase was primarily due to an extinguishment of debt charge of $5.0 million related to the termination of the 2022 Credit Agreement (as defined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decreased $20.1 million to $0.2 million for the year ended December 31, 2024 from $20.3 million for the year ended December 31, 2023 primarily due to being in a taxable income position and non-deductible equity awards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See discussion of the comparison of the years ended December 31, 2023 and 2022 in the Annual Report on Form 10-K for the year ended December 31, 2023 filed with the SEC on February 28, 2024, Part II - Item 7. “—Management's Discussion and Analysis of Financial Condition—Results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measure liquidity in terms of our ability to fund the cash requirements of our business operations, including working capital needs, capital expenditures, including to execute on our de novo strategy, contractual obligations, debt service, acquisitions, settlement of contingent considerations obligations, and other commitments with cash flows from operations and other sources of funding. Our principal sources of liquidity to date have included cash from operating activities, cash on hand and amounts available under that certain credit agreement entered into on December 19, 2024, by the Company, LifeStance Health Holdings, Inc., Lynnwood Intermediate Holdings, Inc., Capital One, National Association, and each lender party thereto (the "2024 Credit Agreement"). We had cash and cash equivalents of $154.6 million and $78.8 million as of December 31, 2024 and 2023, respectively.</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be sufficient to fund our operating and capital needs for at least the next 12 months from the issuance date of our December 31, 2024 financial statements, without any additional financing.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the timing and extent of spending to acquire new centers and expand into new markets and the expansion of marketing activities. We may in the future enter into arrangements to acquire or invest in complementary businesses, services and technologies.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8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future obligations primarily consist of our debt and lease obligations. We expect our cash generation from operations and future ability to refinance or secure additional financing facilities to be sufficient to repay our outstanding debt obligations and lease payment obligations. As of December 31, 2024 and 2023, there was an aggregate principal amount of $290.0 million outstanding under the 2024 Credit Agreement and $289.5 million outstanding under the 2022 Credit Agreement, respectively. As of December 31, 2024, our non-cancellable future minimum operating lease payments totaled $231.8 million.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were previously party to a Credit Agreement, dated May 4, 2022, among the Company, Lynnwood Intermediate Holdings, Inc. and Capital One, National Association (as amended, the "2022 Credit Agreement"). The 2022 Credit Agreement established commitments in respect of a senior secured term loan facility of $200.0 million, a senior secured revolving loan facility of up to $50.0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ind w:right="300"/>
        <w:spacing w:after="0" w:line="282" w:lineRule="auto"/>
        <w:rPr>
          <w:sz w:val="20"/>
          <w:szCs w:val="20"/>
          <w:color w:val="auto"/>
        </w:rPr>
      </w:pPr>
      <w:r>
        <w:rPr>
          <w:rFonts w:ascii="Times New Roman" w:cs="Times New Roman" w:eastAsia="Times New Roman" w:hAnsi="Times New Roman"/>
          <w:sz w:val="18"/>
          <w:szCs w:val="18"/>
          <w:color w:val="auto"/>
        </w:rPr>
        <w:t>million and a senior secured delayed draw term loan facility of up to $100.0 million. On December 19, 2024, in connection with the closing of the 2024 Credit Agreement, the outstanding debt on the 2022 Credit Agreement was repaid in full.</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Borrowings under the 2022 Credit Agreement were subject to variable interest at a rate per annum equal to (x) adjusted term SOFR (which adjusted term SOFR is subject to a minimum of 0.75%) plus an applicable margin of 4.50% or (y) an alternate base rate (which will be the highest of (i) the prime rate, (ii) 0.50% above the federal funds effective rate and (iii) one-month adjusted term SOFR (which adjusted term SOFR is subject to a minimum of 0.75%) plus 1.00%) plus an applicable margin of 3.50%.</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2022 Credit Agreement also contained a maximum first lien net leverage ratio financial maintenance covenant that required the First Lien Net Leverage Ratio as of the last day of each fiscal quarter to not exceed 8.50:1.00. First Lien Net Leverage Ratio means the ratio of (a) Consolidated First Lien Secured Debt outstanding as of the last day of the test period, minus the Unrestricted Cash Amount on such last day, to (b) Consolidated EBITDA for such test period, in each case on a pro forma basis. We were in compliance with the financial covenants since the inception of the 2022 Credit Agreement through payoff.</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2024 Credit Agreement</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December 19, 2024, we and our subsidiary, Lynnwood Intermediate Holdings, Inc., entered into the 2024 Credit Agreement. The 2024 Credit Agreement establishes commitments in respect of a senior secured term loan facility (the “Term Loan Facility”) and a senior secured revolving loan facility of up to $100.0 million (the “Revolving Facility”).</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loans under the Term Loan Facility and the Revolving Facility bear interest at a rate per annum equal to (x) term Secured Overnight Financing Rate (“SOFR”) (which term SOFR is subject to a minimum of 0.00%) plus an applicable margin of 3.00% subject to stepdowns based on leverage-based metrics or (y) an alternate base rate (which will be the highest of (i) the prime rate, (ii) 0.50% above the federal funds effective rate and (iii) one-month adjusted term SOFR (which term SOFR is subject to a minimum of 0.00%) plus 1.00%) plus an applicable margin of 2.00% subject to stepdowns based on leverage-based metrics.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2024 Credit Agreement also contains a maximum Total Net Leverage Ratio financial maintenance covenant that requires the Total Net Leverage Ratio as of the last day of each fiscal quarter to not exceed 4.50:1.00. Additionally, the 2024 Credit Agreement also contains a maximum Interest Coverage Ratio financial maintenance covenant that requires the Interest Coverage Ratio as of the last day of each fiscal quarter to not be less than 3.00:1.00. As of December 31, 2024, we were in compliance with all financial covenants under the 2024 Credit Agreement.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107,260</w:t>
            </w:r>
          </w:p>
        </w:tc>
        <w:tc>
          <w:tcPr>
            <w:tcW w:w="80" w:type="dxa"/>
            <w:vAlign w:val="bottom"/>
          </w:tcPr>
          <w:p>
            <w:pPr>
              <w:spacing w:after="0"/>
              <w:rPr>
                <w:sz w:val="18"/>
                <w:szCs w:val="18"/>
                <w:color w:val="auto"/>
              </w:rPr>
            </w:pPr>
          </w:p>
        </w:tc>
        <w:tc>
          <w:tcPr>
            <w:tcW w:w="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(16,884 )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52,789</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(21,566 )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(60,340 )</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(139,461 )</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(9,947 )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47,264</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(29,797 )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(39,408 )</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148,029</w:t>
            </w:r>
          </w:p>
        </w:tc>
        <w:tc>
          <w:tcPr>
            <w:tcW w:w="100" w:type="dxa"/>
            <w:vAlign w:val="bottom"/>
          </w:tcPr>
          <w:p>
            <w:pPr>
              <w:spacing w:after="0"/>
              <w:rPr>
                <w:sz w:val="18"/>
                <w:szCs w:val="18"/>
                <w:color w:val="auto"/>
              </w:rPr>
            </w:pPr>
          </w:p>
        </w:tc>
      </w:tr>
      <w:tr>
        <w:trPr>
          <w:trHeight w:val="250"/>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154,571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78,824</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provided $107.3 million of cash, primarily impacted by our $57.4 million net loss, net cash used by changes in operating assets and liabilities of $27.4 million and offset by non-cash charges of $192.1 million. During the year ended December 31, 2023, operating activities used $16.9 million of cash, primarily impacted by our $186.3 million net loss and $203.1 million in non-cash charges. This was partially offset by net cash used by changes in our operating assets and liabilities of $33.7 million primarily driven by the payments for the shareholder class action settlement and substantially all of the related legal costs during the second half of the year.</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investing activities used $21.6 million of cash resulting from our purchases of property and equipment. During the year ended December 31, 2023, investing activities used $60.3 million of cash, primarily resulting from our business acquisitions totaling $19.8 million and purchases of property and equipment of $40.5 million.</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(Used In) Provided By Financing Activities</w:t>
      </w:r>
    </w:p>
    <w:p>
      <w:pPr>
        <w:spacing w:after="0" w:line="119" w:lineRule="exact"/>
        <w:rPr>
          <w:sz w:val="20"/>
          <w:szCs w:val="20"/>
          <w:color w:val="auto"/>
        </w:rPr>
      </w:pPr>
    </w:p>
    <w:p>
      <w:pPr>
        <w:ind w:right="340"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financing activities used $9.9 million of cash, resulting primarily from borrowings of $287.8 million under the 2024 Credit Agreement, partially offset by payments of loan obligations of $289.5 million, payments of debt issue costs of $1.8 million and payments of contingent consideration of $6.4 million. During the year ended December 31, 2023, financing activities provided $47.4 million of cash, resulting primarily from borrowings of $57.8 million under the 2022 Credit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right="600"/>
        <w:spacing w:after="0" w:line="282" w:lineRule="auto"/>
        <w:rPr>
          <w:sz w:val="20"/>
          <w:szCs w:val="20"/>
          <w:color w:val="auto"/>
        </w:rPr>
      </w:pPr>
      <w:r>
        <w:rPr>
          <w:rFonts w:ascii="Times New Roman" w:cs="Times New Roman" w:eastAsia="Times New Roman" w:hAnsi="Times New Roman"/>
          <w:sz w:val="18"/>
          <w:szCs w:val="18"/>
          <w:color w:val="auto"/>
        </w:rPr>
        <w:t>Agreement, partially offset by payments of long-term debt of $2.5 million, payments of debt issue costs of $0.2 million and payments of contingent consideration of $7.7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0" w:firstLine="509"/>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The consolidated financial statements included elsewhere in this Annual Report include the results of LifeStance Health Group, Inc., its wholly-owned subsidiaries and variable interest entities consolidated by LifeStance Health Group, Inc. in which LifeStance Health Group, Inc. has an interest and is the primary beneficiary for the years ended December 31, 2024, 2023 and 2022. Preparation of the consolidated financial statements requires our management to make judgments, estimates and assumptions that impact the reported amount of total revenue and expenses, assets and liabilities and the disclosure of contingent assets and liabilities. We consider an accounting estimate to be critical when (1) the estimate made in accordance with GAAP is complex in nature or involves a significant level of estimation uncertainty and (2) the use of different judgments, estimates and assumptions have had or are reasonably likely to have a material impact on the financial condition or results of operations in our consolidated financial statements. Actual results could differ materially from those estimates. Our significant accounting policies are described in Note 2 to our audited consolidated financial statements included elsewhere in this Annual Report. Our critical accounting estimates are described below.</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Total revenue is reported at the amount that reflects the consideration to which we expect to be entitled to in exchange for providing patient care. These amounts are due from patients, third-party payors (including health insurers and government programs) and others and include variable consideration for retroactive adjustments due to settlement of audits, reviews and investigations. Generally, we bill patients and third-party payors several days after the services are performed. Revenue is recognized as performance obligations are satisfied. We have elected the practical expedient not to adjust the promised amount of consideration for the effects of a significant financing component as we expect the period between when service is transferred to a customer and when the customer pays for the service will be one year or less.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patient revenue, the patient is our customer, and a signed patient treatment consent generally represents a written contract between us and the patient. Performance obligations are determined based on the nature of the services we provide. Generally, our performance obligations are satisfied over time and relate to counseling sessions that are discrete in nature and commence and terminate at the discretion of the patient and thus each individual counseling session is a performance obligation. Revenue for performance obligations satisfied over time is recognized when the services are rendered based on the amount to which we expect to be entitled for the services provided to the patient. We believe this method provides a faithful depiction of the transfer of services.</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report revenue net of price concessions related to contractual adjustments provided to third-party payors, discounts provided to uninsured patients in accordance with our policy and/or implicit price concessions provided to patients. The differences between the price at which we expect to receive from patients or third-party payors and the standard billing rates are accounted for as contractual adjustments, discounts or implicit price concessions, which are deducted from gross revenue to arrive at net revenues. We determine our estimates of contractual adjustments, discounts and implicit price concessions based on contractual agreements, its discount policies, and its historical experience. Agreements with third-party payors provide for payments at amounts less than the established charges billed to patients. In substantially all of our patient encounters, services are paid for based upon established fee schedules which reflect reductions for contractual adjustments provided to third-party payors.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Settlements with third-party payors for retroactive adjustments due to audits, review or investigations and disputes by either us or the third-party payors within the allowable specific timeframe are considered variable consideration and are included in the determination of estimated transaction price for providing patient services. These settlements are estimated based on the terms of the payment agreement with the payor, correspondence from the payor and our historical settlement activity, including an assessment to ensure that it is probable that a significant reversal in the amount of cumulative revenue recognized will not occur when the uncertainty associated with the retroactive adjustment is subsequently resolved. Estimated settlements are adjusted in future periods as new information becomes available, or as years are settled or are no longer subject to such audits, reviews and investigations.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Generally, patients who are covered by third-party payors are responsible for related deductibles and coinsurance, which vary in amount. We also provide services to uninsured patients, and offer those uninsured patients a discount, either by policy or law, from standard charges. We estimate the transaction price for patients with deductibles and coinsurance and for those who are uninsured based on historical experience and current market conditions. The initial estimate of the transaction price is determined by reducing the standard charge by any contractual adjustments, discounts, and implicit price concessions. Subsequent changes to the estimate of the transaction price are generally recorded as adjustments to patient service revenue in the period of the change. Adjustments arising from a change in the estimate of the transaction price were not material for all periods presented. Subsequent changes that are determined to be the result of an adverse change in the patient’s or third-party payor’s ability to pay are recorded as bad debt expense.</w:t>
      </w:r>
    </w:p>
    <w:p>
      <w:pPr>
        <w:spacing w:after="0" w:line="81" w:lineRule="exact"/>
        <w:rPr>
          <w:sz w:val="20"/>
          <w:szCs w:val="20"/>
          <w:color w:val="auto"/>
        </w:rPr>
      </w:pPr>
    </w:p>
    <w:p>
      <w:pPr>
        <w:jc w:val="both"/>
        <w:ind w:right="120" w:firstLine="509"/>
        <w:spacing w:after="0" w:line="257" w:lineRule="auto"/>
        <w:rPr>
          <w:sz w:val="20"/>
          <w:szCs w:val="20"/>
          <w:color w:val="auto"/>
        </w:rPr>
      </w:pPr>
      <w:r>
        <w:rPr>
          <w:rFonts w:ascii="Times New Roman" w:cs="Times New Roman" w:eastAsia="Times New Roman" w:hAnsi="Times New Roman"/>
          <w:sz w:val="18"/>
          <w:szCs w:val="18"/>
          <w:color w:val="auto"/>
        </w:rPr>
        <w:t>Services are occasionally provided to patients with a reduced ability to pay for their care. Therefore, we have recognized implicit price concessions to patients who may be in need of financial assistance. The implicit price concessions included in estimating the transaction price represent the difference between amounts billed to patients and the amounts we expect to collect based on its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220"/>
        <w:spacing w:after="0" w:line="282" w:lineRule="auto"/>
        <w:rPr>
          <w:sz w:val="20"/>
          <w:szCs w:val="20"/>
          <w:color w:val="auto"/>
        </w:rPr>
      </w:pPr>
      <w:r>
        <w:rPr>
          <w:rFonts w:ascii="Times New Roman" w:cs="Times New Roman" w:eastAsia="Times New Roman" w:hAnsi="Times New Roman"/>
          <w:sz w:val="18"/>
          <w:szCs w:val="18"/>
          <w:color w:val="auto"/>
        </w:rPr>
        <w:t>collection history with those patients. Patients who meet our criteria for discounted pricing are provided care at amounts less than established rates. Such amounts determined to be financial assistance are not reported as revenue.</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have determined that the nature, amount and timing and uncertainty of revenue and cash flows are affected by the payor mix with third-party payors, which have different reimbursement rates.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utilize the acquisition method of accounting for business combinations and allocate the purchase price of an acquisition to the various tangible and intangible assets acquired and liabilities assumed based on their estimated fair values. We primarily establish fair value using the income approach based upon a discounted cash flow model. The income approach requires the use of many assumptions and estimates including future revenues and expenses, as well as discount factors and income tax rates. Other estimates include:</w:t>
      </w:r>
    </w:p>
    <w:p>
      <w:pPr>
        <w:spacing w:after="0" w:line="72" w:lineRule="exact"/>
        <w:rPr>
          <w:sz w:val="20"/>
          <w:szCs w:val="20"/>
          <w:color w:val="auto"/>
        </w:rPr>
      </w:pPr>
    </w:p>
    <w:p>
      <w:pPr>
        <w:ind w:left="1140" w:hanging="36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carrying value as a proxy for fair values of assets and liabilities assumed from the target;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values of intangible assets and contingent consideration.</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rates and margins, attrition rates, and discount rates. Fair value estimates are based on the assumptions management believes a market participant would use in pricing the asset or liability.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requires the measurement of the cost of the employee services received in exchange for an award of equity instruments based on the grant-date fair value or, in certain circumstances, the calculated value of the award. We account for stock-based compensation awards approved by our Board of Directors based on their estimated grant date fair value.</w:t>
      </w:r>
    </w:p>
    <w:p>
      <w:pPr>
        <w:spacing w:after="0" w:line="6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To determine the fair value of the market condition of stock-based awards and time-based conditions for stock options, we make highly subjective and complex input assumptions, including the expected term, volatility, the price of the underlying stock and the risk-free rate. Changes to these input assumptions to the valuation of the modification can materially affect the fair value estimates and, ultimately, how much we recognize as stock-based compensation expense in future periods. Unanticipated events or circumstances may occur that could affect the accuracy or validity of such assumptions, estimates or actual results.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Intangible assets consist primarily of non-competition agreements and trade names acquired through business acquisitions and the purchase accounting applied for the TPG Acquisition. Goodwill represents the excess of the purchase price paid over the fair value of net assets acquired and liabilities assumed through business acquisitions. Goodwill is not amortized but is tested for impairment at least annually.</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test goodwill for impairment annually or more frequently if triggering events occur or other impairment indicators arise which might impair recoverability. These events or circumstances would include a significant change in the business climate, legal factors, operating performance indicators, competition, disposition of a significant portion of the business or other factors.</w:t>
      </w:r>
    </w:p>
    <w:p>
      <w:pPr>
        <w:spacing w:after="0" w:line="6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allows entities to first use a qualitative approach to test goodwill for impairment. ASC 350 permits an entity to first perform a qualitative assessment to determine whether it is more-likely-than-not (a likelihood of greater than 50%) that the fair value of a reporting unit is less than its carrying value. Management's annual goodwill impairment analyses in 2024 and 2023 indicated that goodwill was not impaired.</w:t>
      </w:r>
    </w:p>
    <w:p>
      <w:pPr>
        <w:spacing w:after="0" w:line="7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determination of fair values and useful lives requires us to make significant estimates and assumptions. These estimates include, but are not limited to, future expected cash flows from acquired arrangements from a market participant perspective, discount rates, industry data and management’s prior experience. Unanticipated events or circumstances may occur that could affect the accuracy or validity of such assumptions, estimates or actual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121" w:lineRule="exact"/>
        <w:rPr>
          <w:sz w:val="20"/>
          <w:szCs w:val="20"/>
          <w:color w:val="auto"/>
        </w:rPr>
      </w:pPr>
    </w:p>
    <w:p>
      <w:pPr>
        <w:ind w:right="740" w:firstLine="509"/>
        <w:spacing w:after="0" w:line="261" w:lineRule="auto"/>
        <w:rPr>
          <w:sz w:val="20"/>
          <w:szCs w:val="20"/>
          <w:color w:val="auto"/>
        </w:rPr>
      </w:pPr>
      <w:r>
        <w:rPr>
          <w:rFonts w:ascii="Times New Roman" w:cs="Times New Roman" w:eastAsia="Times New Roman" w:hAnsi="Times New Roman"/>
          <w:sz w:val="18"/>
          <w:szCs w:val="18"/>
          <w:color w:val="auto"/>
        </w:rPr>
        <w:t>Recently issued and adopted accounting pronouncements are described in Note 2 to our audited consolidated financial statements included elsewhere in this Annual Report.</w:t>
      </w: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condition due to adverse changes in financial market prices and rates. Our market risk exposure is primarily a result of exposure due to potential changes in inflation or interest rates. We do not hold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primary market risk exposure is changing prime rate-based interest rates. Interest rate risk is highly sensitive due to many factors, including U.S. monetary and tax policies, U.S. and international economic factors and other factors beyond our control.</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an aggregate principal amount of $290.0 million outstanding under our credit facilities. In the current economic environment, we manage interest expense using a combination of variable-rate debt and a fixed-interest-rate swap. In August 2022, we entered into a hedge transaction (interest rate swap) using a derivative financial instrument for the purpose of hedging our exposure to interest rate risks, which the contractual terms of the hedged instrument closely mirror those of the hedged item, providing a high degree of risk reduction and correlation. The objective of entering into the interest rate swap is to eliminate the variability of cash flows in the Secured Overnight Financing Rate interest payments associated with variable-rate loan over the life of the loan under our credit facilities.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do not believe that an increase or decrease in interest rates of 100 basis points would have a material effect on our business, financial condition or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All information required by this item is included in Part IV, Item 15 of this Annual Report on Form 10-K and is incorporated in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or the Exchange Act), as of the end of the period covered by this Annual Report. Based upon that evaluation, as a result of the material weaknesses in internal control over financial reporting described below, our Chief Executive Officer and Chief Financial Officer concluded that our disclosure controls and procedures were not effective as of December 31, 2024 due to the material weaknesses described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w:t>
      </w:r>
    </w:p>
    <w:p>
      <w:pPr>
        <w:spacing w:after="0" w:line="54" w:lineRule="exact"/>
        <w:rPr>
          <w:sz w:val="20"/>
          <w:szCs w:val="20"/>
          <w:color w:val="auto"/>
        </w:rPr>
      </w:pPr>
    </w:p>
    <w:p>
      <w:pPr>
        <w:ind w:right="220" w:firstLine="554"/>
        <w:spacing w:after="0" w:line="254"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Chief Executive Officer and Chief Financial Officer and the oversight of our audit committee, has evaluated the effectiveness of our internal control over financial reporting as of December 31, 2024. In assessing the effectiveness of our internal control over financial reporting, our management used the framework established in </w:t>
      </w:r>
      <w:r>
        <w:rPr>
          <w:rFonts w:ascii="Times New Roman" w:cs="Times New Roman" w:eastAsia="Times New Roman" w:hAnsi="Times New Roman"/>
          <w:sz w:val="18"/>
          <w:szCs w:val="18"/>
          <w:i w:val="1"/>
          <w:iCs w:val="1"/>
          <w:color w:val="auto"/>
        </w:rPr>
        <w:t>Internal Control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Based on that assessment and due to the material weaknesses described below, our management has concluded that the Company’s internal control over financial reporting was not effective as of 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we identified were as follows:</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due to an insufficient complement of resources in the accounting/finance and IT functions, with an appropriate level of knowledge, experience and training. This material weakness contributed to the following additional material weaknesses:</w:t>
      </w:r>
    </w:p>
    <w:p>
      <w:pPr>
        <w:spacing w:after="0" w:line="68" w:lineRule="exact"/>
        <w:rPr>
          <w:sz w:val="20"/>
          <w:szCs w:val="20"/>
          <w:color w:val="auto"/>
        </w:rPr>
      </w:pPr>
    </w:p>
    <w:p>
      <w:pPr>
        <w:ind w:left="1020" w:right="26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formal accounting policies and procedures, and did not design and maintain effective controls related to significant accounts and disclosures to achieve complete, accurate and timely financial accounting, reporting and disclosures, including controls over account reconciliations, segregation of duties and the preparation and review of journal entries.</w:t>
      </w:r>
    </w:p>
    <w:p>
      <w:pPr>
        <w:spacing w:after="0" w:line="67" w:lineRule="exact"/>
        <w:rPr>
          <w:rFonts w:ascii="Times New Roman" w:cs="Times New Roman" w:eastAsia="Times New Roman" w:hAnsi="Times New Roman"/>
          <w:sz w:val="18"/>
          <w:szCs w:val="18"/>
          <w:color w:val="auto"/>
        </w:rPr>
      </w:pPr>
    </w:p>
    <w:p>
      <w:pPr>
        <w:ind w:left="102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material weaknesses resulted in material misstatements related to the identification and valuation of intangible assets acquired in business combinations that impacted the classification of intangible assets and goodwill, related impacts to amortization and income tax expense, and the restatement of our previously issued annual consolidated financial statements as of and for the years ended December 31, 2019 and 2018 with respect to such intangibles assets acquired in business combinations. 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spacing w:after="0" w:line="79" w:lineRule="exact"/>
        <w:rPr>
          <w:rFonts w:ascii="Times New Roman" w:cs="Times New Roman" w:eastAsia="Times New Roman" w:hAnsi="Times New Roman"/>
          <w:sz w:val="18"/>
          <w:szCs w:val="18"/>
          <w:color w:val="auto"/>
        </w:rPr>
      </w:pPr>
    </w:p>
    <w:p>
      <w:pPr>
        <w:ind w:left="1020" w:right="6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IT general controls for information systems that are relevant to the preparation of our consolidated financial statements. Specifically, we did not design and maintain: (i) program change management controls for financial systems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a material misstatement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December 31, 2024 has been audited by PricewaterhouseCoopers LLP, an independent registered public accounting firm, as stated in their report which is included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w:t>
      </w:r>
    </w:p>
    <w:p>
      <w:pPr>
        <w:spacing w:after="0" w:line="121"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We are in the process of designing and implementing measures designed to improve our internal control over financial reporting and remediate the control deficiencies which led to the material weaknesses. As of December 31, 2024, our remediation measures are ongoing and include the following:</w:t>
      </w:r>
    </w:p>
    <w:p>
      <w:pPr>
        <w:spacing w:after="0" w:line="32" w:lineRule="exact"/>
        <w:rPr>
          <w:sz w:val="20"/>
          <w:szCs w:val="20"/>
          <w:color w:val="auto"/>
        </w:rPr>
      </w:pPr>
    </w:p>
    <w:p>
      <w:pPr>
        <w:ind w:left="1020" w:right="4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additional training to ensure a clear understanding of risk assessment, controls and monitoring activities related to financial processes and IT general controls related to financial reporting;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detailed risk assessments for significant financial processes to identify, design, and implement control activities related to internal control over financial reporting;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controls related to the formalization of our accounting policies and procedures and financial reporting;</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controls related to significant accounts and disclosures to achieve complete, accurate and timely financial accounting, reporting and disclosures, including controls over account reconciliations, segregation of duties and the preparation and review of journal entries;</w:t>
      </w:r>
    </w:p>
    <w:p>
      <w:pPr>
        <w:spacing w:after="0" w:line="67" w:lineRule="exact"/>
        <w:rPr>
          <w:rFonts w:ascii="Times New Roman" w:cs="Times New Roman" w:eastAsia="Times New Roman" w:hAnsi="Times New Roman"/>
          <w:sz w:val="18"/>
          <w:szCs w:val="18"/>
          <w:color w:val="auto"/>
        </w:rPr>
      </w:pPr>
    </w:p>
    <w:p>
      <w:pPr>
        <w:ind w:left="1020" w:right="200" w:hanging="503"/>
        <w:spacing w:after="0" w:line="312"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and implementation of IT security and governance controls to address program change of internally and externally developed systems and computer operations associated with information systems impacting the preparation of our consolidated financial statements;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controls related to the periodic monitoring and review of user access rights, segregation of duties</w:t>
      </w:r>
    </w:p>
    <w:p>
      <w:pPr>
        <w:spacing w:after="0" w:line="27" w:lineRule="exact"/>
        <w:rPr>
          <w:sz w:val="20"/>
          <w:szCs w:val="20"/>
          <w:color w:val="auto"/>
        </w:rPr>
      </w:pPr>
    </w:p>
    <w:p>
      <w:pPr>
        <w:ind w:left="5540" w:right="3140" w:hanging="4507"/>
        <w:spacing w:after="0" w:line="260" w:lineRule="auto"/>
        <w:rPr>
          <w:sz w:val="20"/>
          <w:szCs w:val="20"/>
          <w:color w:val="auto"/>
        </w:rPr>
      </w:pPr>
      <w:r>
        <w:rPr>
          <w:rFonts w:ascii="Times New Roman" w:cs="Times New Roman" w:eastAsia="Times New Roman" w:hAnsi="Times New Roman"/>
          <w:sz w:val="18"/>
          <w:szCs w:val="18"/>
          <w:color w:val="auto"/>
        </w:rPr>
        <w:t>conflicts, and, where it is determined there is a need for an individual to have conflicting access, a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jc w:val="center"/>
        <w:ind w:right="100"/>
        <w:spacing w:after="0"/>
        <w:rPr>
          <w:sz w:val="20"/>
          <w:szCs w:val="20"/>
          <w:color w:val="auto"/>
        </w:rPr>
      </w:pPr>
      <w:r>
        <w:rPr>
          <w:rFonts w:ascii="Times New Roman" w:cs="Times New Roman" w:eastAsia="Times New Roman" w:hAnsi="Times New Roman"/>
          <w:sz w:val="18"/>
          <w:szCs w:val="18"/>
          <w:color w:val="auto"/>
        </w:rPr>
        <w:t>periodic review of the underlying activities is performed by an independent person who does not have such conflicting access;</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controls related to computer operations surrounding critical batch jobs and data backups;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program change management controls, including new or material modifications, related to testing, authorization and implementation of program and data changes affecting financial IT applications and accounting records.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the measures described above will remediate the control deficiencies for the specific areas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remedial controls operate for a sufficient period of time and management has concluded, through testing, that these controls are operating effectively.</w:t>
      </w:r>
    </w:p>
    <w:p>
      <w:pPr>
        <w:spacing w:after="0" w:line="79"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We intend to evaluate current and projected resource needs on a regular basis and hire additional qualified resources as needed. Our ability to maintain qualified and adequate resources to support our business and our projected growth will be a critical component of our internal control environment.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Actions Taken During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remediation efforts were completed during the year ended December 31, 2024:</w:t>
      </w:r>
    </w:p>
    <w:p>
      <w:pPr>
        <w:spacing w:after="0" w:line="117" w:lineRule="exact"/>
        <w:rPr>
          <w:sz w:val="20"/>
          <w:szCs w:val="20"/>
          <w:color w:val="auto"/>
        </w:rPr>
      </w:pPr>
    </w:p>
    <w:p>
      <w:pPr>
        <w:ind w:left="1020" w:right="8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added a Manager of Stock Administration to our human resources function to oversee our equity awards and stock-based compensation;</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new stock administration controls and enhanced existing stock administration controls to specifically address the accuracy and completeness of awards granted to certain employees or other service providers;</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enhanced controls related to cash management to achieve complete, accurate and timely financial accounting, reporting and disclosures;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new controls for related party transactions and enhanced controls to achieve complete, accurate and timely identification of related party transactions, reporting and disclosures;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new controls for lease accounting and enhanced controls to achieve complete, accurate and timely financial accounting, reporting and disclosures;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enhanced controls related to the impairment and amortization of intangible assets and goodwill to achieve complete, accurate and timely financial accounting, reporting and disclosures; and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enhanced financial statement close and reporting controls related to significant accounts and disclosures to achieve complete, accurate and timely financial accounting, reporting and disclosures including controls over account reconciliations and review of journal entries.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taking actions to remediate the material weaknesses relating to our internal control over financial reporting. Other than the changes to our internal control over financial reporting described in "Actions Taken During 2024" above, 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Disclosure Controls and Procedures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our fiscal quarter ended December 31, 2024, none of our directors or officers (as defined in Rule 16a-1(f) under the Securities Exchange Act of 1934, as amended) entered into, modified (as to amount, price or timing of trades) or terminated (i) contracts,</w:t>
      </w: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definitive proxy statement to be filed with the SEC in connection with the Annual Meeting of Stockholders within 120 days after December 31, 2024 (the “Proxy Statement”) and is incorporated into this Annual Report on Form 10-K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Item 11 of Part III will be included in our Proxy Statement relating to our 2025 Annual Meeting of Shareholders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Item 12 of Part III will be included in our Proxy Statement relating to our 2025 Annual Meeting of Shareholders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Item 13 of Part III will be included in our Proxy Statement relating to our 2025 Annual Meeting of Shareholders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Item 14 of Part III will be included in our Proxy Statement relating to our 2025 Annual Meeting of Shareholders and is incorporated herein by reference.</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7" w:right="519" w:bottom="1440" w:gutter="0" w:footer="0" w:header="0"/>
        </w:sectPr>
      </w:pPr>
    </w:p>
    <w:bookmarkStart w:id="60" w:name="page61"/>
    <w:bookmarkEnd w:id="6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5"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following financial statements and schedules of the Registrant are contained in Part II, Item 8, "Financial Statements and</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Supplementary Data" of this Annual Report on Form 10-K:</w:t>
      </w:r>
    </w:p>
    <w:p>
      <w:pPr>
        <w:spacing w:after="0" w:line="95"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77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7760" w:type="dxa"/>
            <w:vAlign w:val="bottom"/>
            <w:gridSpan w:val="8"/>
            <w:vMerge w:val="continue"/>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4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540" w:type="dxa"/>
            <w:vAlign w:val="bottom"/>
            <w:gridSpan w:val="3"/>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3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7760" w:type="dxa"/>
            <w:vAlign w:val="bottom"/>
            <w:gridSpan w:val="8"/>
          </w:tcPr>
          <w:p>
            <w:pPr>
              <w:ind w:left="100"/>
              <w:spacing w:after="0"/>
              <w:rPr>
                <w:sz w:val="20"/>
                <w:szCs w:val="20"/>
                <w:color w:val="auto"/>
              </w:rPr>
            </w:pPr>
            <w:r>
              <w:rPr>
                <w:rFonts w:ascii="Times New Roman" w:cs="Times New Roman" w:eastAsia="Times New Roman" w:hAnsi="Times New Roman"/>
                <w:sz w:val="18"/>
                <w:szCs w:val="18"/>
                <w:i w:val="1"/>
                <w:iCs w:val="1"/>
                <w:color w:val="auto"/>
              </w:rPr>
              <w:t>List of Financial Statement Schedules.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00"/>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 required information is either not present, not present in material amounts or presented within the consolidated financial statements.</w:t>
      </w:r>
    </w:p>
    <w:p>
      <w:pPr>
        <w:spacing w:after="0" w:line="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following “Exhibits Index” are filed, furnished or incorporated by reference as part of this Annual Report.</w:t>
      </w:r>
    </w:p>
    <w:p>
      <w:pPr>
        <w:spacing w:after="0" w:line="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Exhibit Incorporated Herein by Reference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180" w:type="dxa"/>
            <w:vAlign w:val="bottom"/>
            <w:gridSpan w:val="31"/>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31"/>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bottom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Certificate of Incorporation of LifeStance Health</w:t>
              </w:r>
            </w:hyperlink>
          </w:p>
        </w:tc>
        <w:tc>
          <w:tcPr>
            <w:tcW w:w="200" w:type="dxa"/>
            <w:vAlign w:val="bottom"/>
            <w:gridSpan w:val="2"/>
          </w:tcPr>
          <w:p>
            <w:pPr>
              <w:spacing w:after="0"/>
              <w:rPr>
                <w:sz w:val="14"/>
                <w:szCs w:val="14"/>
                <w:color w:val="auto"/>
              </w:rPr>
            </w:pPr>
          </w:p>
        </w:tc>
        <w:tc>
          <w:tcPr>
            <w:tcW w:w="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6/15/2021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6"/>
              </w:rPr>
            </w:pPr>
            <w:hyperlink r:id="rId111">
              <w:r>
                <w:rPr>
                  <w:rFonts w:ascii="Times New Roman" w:cs="Times New Roman" w:eastAsia="Times New Roman" w:hAnsi="Times New Roman"/>
                  <w:sz w:val="18"/>
                  <w:szCs w:val="18"/>
                  <w:color w:val="0000FF"/>
                  <w:w w:val="96"/>
                </w:rPr>
                <w:t>Group, Inc.</w:t>
              </w:r>
            </w:hyperlink>
          </w:p>
        </w:tc>
        <w:tc>
          <w:tcPr>
            <w:tcW w:w="20" w:type="dxa"/>
            <w:vAlign w:val="bottom"/>
            <w:tcBorders>
              <w:bottom w:val="single" w:sz="8" w:color="0000EE"/>
            </w:tcBorders>
          </w:tcPr>
          <w:p>
            <w:pPr>
              <w:spacing w:after="0"/>
              <w:rPr>
                <w:sz w:val="17"/>
                <w:szCs w:val="17"/>
                <w:color w:val="auto"/>
              </w:rPr>
            </w:pPr>
          </w:p>
        </w:tc>
        <w:tc>
          <w:tcPr>
            <w:tcW w:w="4640" w:type="dxa"/>
            <w:vAlign w:val="bottom"/>
            <w:gridSpan w:val="35"/>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Second Amended and Restated Bylaws of LifeStance Health Group, Inc.</w:t>
              </w:r>
            </w:hyperlink>
          </w:p>
        </w:tc>
        <w:tc>
          <w:tcPr>
            <w:tcW w:w="220" w:type="dxa"/>
            <w:vAlign w:val="bottom"/>
            <w:gridSpan w:val="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3/9/2023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Form of Common Stock Certificate</w:t>
              </w:r>
            </w:hyperlink>
          </w:p>
        </w:tc>
        <w:tc>
          <w:tcPr>
            <w:tcW w:w="2920" w:type="dxa"/>
            <w:vAlign w:val="bottom"/>
            <w:gridSpan w:val="30"/>
          </w:tcPr>
          <w:p>
            <w:pPr>
              <w:spacing w:after="0"/>
              <w:rPr>
                <w:sz w:val="17"/>
                <w:szCs w:val="17"/>
                <w:color w:val="auto"/>
              </w:rPr>
            </w:pPr>
          </w:p>
        </w:tc>
        <w:tc>
          <w:tcPr>
            <w:tcW w:w="18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S-1/A   333-256202</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0"/>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Description of Securities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3/17/2022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Registration Rights Agreement, dated as of June 9, 2021, by and among the</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6/15/2021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Company and each of the other persons from time to time party thereto</w:t>
              </w:r>
            </w:hyperlink>
          </w:p>
        </w:tc>
        <w:tc>
          <w:tcPr>
            <w:tcW w:w="3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Stockholders Agreement, dated as of June 9, 2021, by and among the</w:t>
              </w:r>
            </w:hyperlink>
          </w:p>
        </w:tc>
        <w:tc>
          <w:tcPr>
            <w:tcW w:w="460" w:type="dxa"/>
            <w:vAlign w:val="bottom"/>
            <w:gridSpan w:val="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6/15/2021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0"/>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Company and each of the other persons from time to time party thereto</w:t>
              </w:r>
            </w:hyperlink>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Employment Agreement, dated September 7, 2022, between LifeStance</w:t>
              </w:r>
            </w:hyperlink>
          </w:p>
        </w:tc>
        <w:tc>
          <w:tcPr>
            <w:tcW w:w="260" w:type="dxa"/>
            <w:vAlign w:val="bottom"/>
            <w:gridSpan w:val="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11/9/2022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Health Group, Inc. and Kenneth Burdick</w:t>
              </w:r>
            </w:hyperlink>
          </w:p>
        </w:tc>
        <w:tc>
          <w:tcPr>
            <w:tcW w:w="20" w:type="dxa"/>
            <w:vAlign w:val="bottom"/>
            <w:tcBorders>
              <w:bottom w:val="single" w:sz="8" w:color="0000EE"/>
            </w:tcBorders>
          </w:tcPr>
          <w:p>
            <w:pPr>
              <w:spacing w:after="0"/>
              <w:rPr>
                <w:sz w:val="17"/>
                <w:szCs w:val="17"/>
                <w:color w:val="auto"/>
              </w:rPr>
            </w:pPr>
          </w:p>
        </w:tc>
        <w:tc>
          <w:tcPr>
            <w:tcW w:w="2520" w:type="dxa"/>
            <w:vAlign w:val="bottom"/>
            <w:gridSpan w:val="27"/>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Amended and Restated Employment Agreement, dated May 14, 2020,</w:t>
              </w:r>
            </w:hyperlink>
          </w:p>
        </w:tc>
        <w:tc>
          <w:tcPr>
            <w:tcW w:w="360" w:type="dxa"/>
            <w:vAlign w:val="bottom"/>
            <w:gridSpan w:val="7"/>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333-256202</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5/17/2021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0"/>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between LifeStance Health, Inc. and Danish Qureshi</w:t>
              </w:r>
            </w:hyperlink>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Letter Agreement, dated September 7, 2022, between LifeStance Health</w:t>
              </w:r>
            </w:hyperlink>
          </w:p>
        </w:tc>
        <w:tc>
          <w:tcPr>
            <w:tcW w:w="240" w:type="dxa"/>
            <w:vAlign w:val="bottom"/>
            <w:gridSpan w:val="4"/>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11/9/2022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Group, Inc. and Danish Qureshi</w:t>
              </w:r>
            </w:hyperlink>
          </w:p>
        </w:tc>
        <w:tc>
          <w:tcPr>
            <w:tcW w:w="3180" w:type="dxa"/>
            <w:vAlign w:val="bottom"/>
            <w:gridSpan w:val="31"/>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Employment Agreement, dated as of November 2, 2022, between</w:t>
              </w:r>
            </w:hyperlink>
          </w:p>
        </w:tc>
        <w:tc>
          <w:tcPr>
            <w:tcW w:w="720" w:type="dxa"/>
            <w:vAlign w:val="bottom"/>
            <w:gridSpan w:val="1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3/9/2023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LifeStance Health Group, Inc. and David Bourdon</w:t>
              </w:r>
            </w:hyperlink>
          </w:p>
        </w:tc>
        <w:tc>
          <w:tcPr>
            <w:tcW w:w="40" w:type="dxa"/>
            <w:vAlign w:val="bottom"/>
            <w:tcBorders>
              <w:bottom w:val="single" w:sz="8" w:color="0000EE"/>
            </w:tcBorders>
          </w:tcPr>
          <w:p>
            <w:pPr>
              <w:spacing w:after="0"/>
              <w:rPr>
                <w:sz w:val="17"/>
                <w:szCs w:val="17"/>
                <w:color w:val="auto"/>
              </w:rPr>
            </w:pPr>
          </w:p>
        </w:tc>
        <w:tc>
          <w:tcPr>
            <w:tcW w:w="1800" w:type="dxa"/>
            <w:vAlign w:val="bottom"/>
            <w:gridSpan w:val="21"/>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LifeStance Health Group, Inc. 2021 Equity Incentive Plan</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1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6/15/2021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0"/>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LifeStance Health Group, Inc. 2021 Employee Stock Purchase Plan</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6/15/2021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LifeStance Health Group, Inc. 2021 Cash Incentive Plan</w:t>
              </w:r>
            </w:hyperlink>
          </w:p>
        </w:tc>
        <w:tc>
          <w:tcPr>
            <w:tcW w:w="20" w:type="dxa"/>
            <w:vAlign w:val="bottom"/>
            <w:tcBorders>
              <w:top w:val="single" w:sz="8" w:color="0000FF"/>
              <w:bottom w:val="single" w:sz="8" w:color="0000EE"/>
            </w:tcBorders>
          </w:tcPr>
          <w:p>
            <w:pPr>
              <w:spacing w:after="0"/>
              <w:rPr>
                <w:sz w:val="17"/>
                <w:szCs w:val="17"/>
                <w:color w:val="auto"/>
              </w:rPr>
            </w:pPr>
          </w:p>
        </w:tc>
        <w:tc>
          <w:tcPr>
            <w:tcW w:w="780" w:type="dxa"/>
            <w:vAlign w:val="bottom"/>
            <w:tcBorders>
              <w:top w:val="single" w:sz="8" w:color="0000FF"/>
            </w:tcBorders>
            <w:gridSpan w:val="5"/>
          </w:tcPr>
          <w:p>
            <w:pPr>
              <w:spacing w:after="0"/>
              <w:rPr>
                <w:sz w:val="17"/>
                <w:szCs w:val="17"/>
                <w:color w:val="auto"/>
              </w:rPr>
            </w:pPr>
          </w:p>
        </w:tc>
        <w:tc>
          <w:tcPr>
            <w:tcW w:w="620" w:type="dxa"/>
            <w:vAlign w:val="bottom"/>
            <w:gridSpan w:val="1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6/15/2021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Indemnification Agreement between LifeStance Health Group,</w:t>
              </w:r>
            </w:hyperlink>
          </w:p>
        </w:tc>
        <w:tc>
          <w:tcPr>
            <w:tcW w:w="280" w:type="dxa"/>
            <w:vAlign w:val="bottom"/>
            <w:gridSpan w:val="6"/>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333-256202</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5/17/2021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0"/>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Inc. and each of its directors and executive officers</w:t>
              </w:r>
            </w:hyperlink>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0"/>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Management Services Agreement with Supported Practices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333-256202</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5/17/2021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RSU Agreement under the 2021 Plan</w:t>
              </w:r>
            </w:hyperlink>
          </w:p>
        </w:tc>
        <w:tc>
          <w:tcPr>
            <w:tcW w:w="580" w:type="dxa"/>
            <w:vAlign w:val="bottom"/>
            <w:gridSpan w:val="10"/>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333-256202</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6/1/2022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Notice of Amended Award Terms for Class B Unit Award</w:t>
              </w:r>
            </w:hyperlink>
          </w:p>
        </w:tc>
        <w:tc>
          <w:tcPr>
            <w:tcW w:w="600" w:type="dxa"/>
            <w:vAlign w:val="bottom"/>
            <w:gridSpan w:val="11"/>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333-256202</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6/1/2022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Agreement</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36"/>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Form of Non-Qualified Stock Option Agreement</w:t>
              </w:r>
            </w:hyperlink>
          </w:p>
        </w:tc>
        <w:tc>
          <w:tcPr>
            <w:tcW w:w="1960" w:type="dxa"/>
            <w:vAlign w:val="bottom"/>
            <w:gridSpan w:val="2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11/9/2022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0"/>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RSU Agreement (Time) (Sell to Cover) under the 2021 Plan</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3/9/2023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tcBorders>
              <w:right w:val="single" w:sz="8" w:color="0000EE"/>
            </w:tcBorders>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Form of RSU Agreement (Time and Performance) (Sell to Cover) under the</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3/9/2023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130">
              <w:r>
                <w:rPr>
                  <w:rFonts w:ascii="Times New Roman" w:cs="Times New Roman" w:eastAsia="Times New Roman" w:hAnsi="Times New Roman"/>
                  <w:sz w:val="18"/>
                  <w:szCs w:val="18"/>
                  <w:color w:val="0000FF"/>
                  <w:w w:val="96"/>
                </w:rPr>
                <w:t>2021 Plan</w:t>
              </w:r>
            </w:hyperlink>
          </w:p>
        </w:tc>
        <w:tc>
          <w:tcPr>
            <w:tcW w:w="20" w:type="dxa"/>
            <w:vAlign w:val="bottom"/>
            <w:tcBorders>
              <w:bottom w:val="single" w:sz="8" w:color="0000EE"/>
            </w:tcBorders>
          </w:tcPr>
          <w:p>
            <w:pPr>
              <w:spacing w:after="0"/>
              <w:rPr>
                <w:sz w:val="17"/>
                <w:szCs w:val="17"/>
                <w:color w:val="auto"/>
              </w:rPr>
            </w:pPr>
          </w:p>
        </w:tc>
        <w:tc>
          <w:tcPr>
            <w:tcW w:w="4740" w:type="dxa"/>
            <w:vAlign w:val="bottom"/>
            <w:gridSpan w:val="38"/>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Severance and Change in Control Policy</w:t>
              </w:r>
            </w:hyperlink>
          </w:p>
        </w:tc>
        <w:tc>
          <w:tcPr>
            <w:tcW w:w="20" w:type="dxa"/>
            <w:vAlign w:val="bottom"/>
            <w:tcBorders>
              <w:bottom w:val="single" w:sz="8" w:color="0000EE"/>
            </w:tcBorders>
          </w:tcPr>
          <w:p>
            <w:pPr>
              <w:spacing w:after="0"/>
              <w:rPr>
                <w:sz w:val="17"/>
                <w:szCs w:val="17"/>
                <w:color w:val="auto"/>
              </w:rPr>
            </w:pPr>
          </w:p>
        </w:tc>
        <w:tc>
          <w:tcPr>
            <w:tcW w:w="2540" w:type="dxa"/>
            <w:vAlign w:val="bottom"/>
            <w:gridSpan w:val="2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8/10/2022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Separation and Release of Claims Agreement, dated as of June 30, 2024,</w:t>
              </w:r>
            </w:hyperlink>
          </w:p>
        </w:tc>
        <w:tc>
          <w:tcPr>
            <w:tcW w:w="200" w:type="dxa"/>
            <w:vAlign w:val="bottom"/>
            <w:gridSpan w:val="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001-40478</w:t>
            </w: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8/8/2024</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40"/>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between LifeStance Health Group, Inc. and Danish Qureshi</w:t>
              </w:r>
            </w:hyperlink>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5"/>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Credit Agreement, dated as of December 19, 2024, among LifeStance</w:t>
            </w:r>
          </w:p>
        </w:tc>
        <w:tc>
          <w:tcPr>
            <w:tcW w:w="3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Health Holdings, Inc., Lynnwood Intermediate Holdings, Inc., and Capital</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One, National Association</w:t>
            </w:r>
          </w:p>
        </w:tc>
        <w:tc>
          <w:tcPr>
            <w:tcW w:w="20" w:type="dxa"/>
            <w:vAlign w:val="bottom"/>
            <w:tcBorders>
              <w:bottom w:val="single" w:sz="8" w:color="0000EE"/>
            </w:tcBorders>
          </w:tcPr>
          <w:p>
            <w:pPr>
              <w:spacing w:after="0"/>
              <w:rPr>
                <w:sz w:val="17"/>
                <w:szCs w:val="17"/>
                <w:color w:val="auto"/>
              </w:rPr>
            </w:pPr>
          </w:p>
        </w:tc>
        <w:tc>
          <w:tcPr>
            <w:tcW w:w="3560" w:type="dxa"/>
            <w:vAlign w:val="bottom"/>
            <w:gridSpan w:val="32"/>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LifeStance Health Group, Inc. Insider Trading Policy</w:t>
            </w:r>
          </w:p>
        </w:tc>
        <w:tc>
          <w:tcPr>
            <w:tcW w:w="164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List of subsidiaries of LifeStance Health Group, Inc.</w:t>
            </w:r>
          </w:p>
        </w:tc>
        <w:tc>
          <w:tcPr>
            <w:tcW w:w="168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PricewaterhouseCoopers LLP</w:t>
            </w:r>
          </w:p>
        </w:tc>
        <w:tc>
          <w:tcPr>
            <w:tcW w:w="20" w:type="dxa"/>
            <w:vAlign w:val="bottom"/>
            <w:tcBorders>
              <w:bottom w:val="single" w:sz="8" w:color="0000EE"/>
            </w:tcBorders>
          </w:tcPr>
          <w:p>
            <w:pPr>
              <w:spacing w:after="0"/>
              <w:rPr>
                <w:sz w:val="17"/>
                <w:szCs w:val="17"/>
                <w:color w:val="auto"/>
              </w:rPr>
            </w:pPr>
          </w:p>
        </w:tc>
        <w:tc>
          <w:tcPr>
            <w:tcW w:w="2480" w:type="dxa"/>
            <w:vAlign w:val="bottom"/>
            <w:gridSpan w:val="25"/>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FF"/>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2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FF"/>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-7620</wp:posOffset>
            </wp:positionV>
            <wp:extent cx="27412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27412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3"/>
        </w:trPr>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Exhibit Incorporated Herein by Reference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gridSpan w:val="8"/>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8"/>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2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1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6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16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6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LifeStance Health Group, Inc. Policy for Recoupment of Incentive</w:t>
              </w:r>
            </w:hyperlink>
          </w:p>
        </w:tc>
        <w:tc>
          <w:tcPr>
            <w:tcW w:w="640" w:type="dxa"/>
            <w:vAlign w:val="bottom"/>
            <w:gridSpan w:val="5"/>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60" w:type="dxa"/>
            <w:vAlign w:val="bottom"/>
          </w:tcPr>
          <w:p>
            <w:pPr>
              <w:jc w:val="right"/>
              <w:ind w:right="139"/>
              <w:spacing w:after="0" w:line="196" w:lineRule="exact"/>
              <w:rPr>
                <w:sz w:val="20"/>
                <w:szCs w:val="20"/>
                <w:color w:val="auto"/>
              </w:rPr>
            </w:pPr>
            <w:r>
              <w:rPr>
                <w:rFonts w:ascii="Times New Roman" w:cs="Times New Roman" w:eastAsia="Times New Roman" w:hAnsi="Times New Roman"/>
                <w:sz w:val="18"/>
                <w:szCs w:val="18"/>
                <w:color w:val="auto"/>
              </w:rPr>
              <w:t>001-40478</w:t>
            </w:r>
          </w:p>
        </w:tc>
        <w:tc>
          <w:tcPr>
            <w:tcW w:w="880" w:type="dxa"/>
            <w:vAlign w:val="bottom"/>
          </w:tcPr>
          <w:p>
            <w:pPr>
              <w:jc w:val="right"/>
              <w:ind w:right="199"/>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100" w:type="dxa"/>
            <w:vAlign w:val="bottom"/>
          </w:tcPr>
          <w:p>
            <w:pPr>
              <w:jc w:val="right"/>
              <w:ind w:right="79"/>
              <w:spacing w:after="0" w:line="196" w:lineRule="exact"/>
              <w:rPr>
                <w:sz w:val="20"/>
                <w:szCs w:val="20"/>
                <w:color w:val="auto"/>
              </w:rPr>
            </w:pPr>
            <w:r>
              <w:rPr>
                <w:rFonts w:ascii="Times New Roman" w:cs="Times New Roman" w:eastAsia="Times New Roman" w:hAnsi="Times New Roman"/>
                <w:sz w:val="18"/>
                <w:szCs w:val="18"/>
                <w:color w:val="auto"/>
              </w:rPr>
              <w:t>2/28/2024</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Compensation</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right="5120" w:hanging="1019"/>
        <w:spacing w:after="0" w:line="255" w:lineRule="auto"/>
        <w:tabs>
          <w:tab w:leader="none" w:pos="10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Annual Report on Form 10-K of LifeStance Health Group, Inc. for the year ended December 31, 2024 formatted in Inline XBRL</w:t>
      </w:r>
    </w:p>
    <w:p>
      <w:pPr>
        <w:spacing w:after="0" w:line="118"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Indicates a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3" w:name="page64"/>
    <w:bookmarkEnd w:id="6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LifeStance Health Group, Inc.</w:t>
      </w:r>
    </w:p>
    <w:p>
      <w:pPr>
        <w:spacing w:after="0" w:line="225" w:lineRule="exact"/>
        <w:rPr>
          <w:sz w:val="20"/>
          <w:szCs w:val="20"/>
          <w:color w:val="auto"/>
        </w:rPr>
      </w:pPr>
    </w:p>
    <w:p>
      <w:pPr>
        <w:ind w:left="20"/>
        <w:spacing w:after="0"/>
        <w:tabs>
          <w:tab w:leader="none" w:pos="5580" w:val="left"/>
          <w:tab w:leader="none" w:pos="79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Burdick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Kenneth Burdick</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40"/>
          </w:cols>
          <w:pgMar w:left="320" w:top="981" w:right="439" w:bottom="1440" w:gutter="0" w:footer="0" w:header="0"/>
        </w:sectPr>
      </w:pPr>
    </w:p>
    <w:p>
      <w:pPr>
        <w:spacing w:after="0" w:line="182" w:lineRule="exact"/>
        <w:rPr>
          <w:sz w:val="20"/>
          <w:szCs w:val="20"/>
          <w:color w:val="auto"/>
        </w:rPr>
      </w:pPr>
    </w:p>
    <w:p>
      <w:pPr>
        <w:ind w:left="1680"/>
        <w:spacing w:after="0"/>
        <w:tabs>
          <w:tab w:leader="none" w:pos="61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20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Burdick</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Chief Executive Officer and Chairman</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Kenneth Burdick</w:t>
            </w:r>
          </w:p>
        </w:tc>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Bourdon</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David Bourdon</w:t>
            </w:r>
          </w:p>
        </w:tc>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Bessler</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Bessler</w:t>
            </w:r>
          </w:p>
        </w:tc>
        <w:tc>
          <w:tcPr>
            <w:tcW w:w="29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Darren Black</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Darren Black</w:t>
            </w:r>
          </w:p>
        </w:tc>
        <w:tc>
          <w:tcPr>
            <w:tcW w:w="29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Crisan</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Crisan</w:t>
            </w:r>
          </w:p>
        </w:tc>
        <w:tc>
          <w:tcPr>
            <w:tcW w:w="29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Teresa DeLuca</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Teresa DeLuca</w:t>
            </w:r>
          </w:p>
        </w:tc>
        <w:tc>
          <w:tcPr>
            <w:tcW w:w="29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Miller</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William Miller</w:t>
            </w:r>
          </w:p>
        </w:tc>
        <w:tc>
          <w:tcPr>
            <w:tcW w:w="29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Rhodes</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Jeffrey Rhodes</w:t>
            </w:r>
          </w:p>
        </w:tc>
        <w:tc>
          <w:tcPr>
            <w:tcW w:w="29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Eric Shuey</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 Shuey</w:t>
            </w:r>
          </w:p>
        </w:tc>
        <w:tc>
          <w:tcPr>
            <w:tcW w:w="292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Seema Verma</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Seema Verma</w:t>
            </w:r>
          </w:p>
        </w:tc>
        <w:tc>
          <w:tcPr>
            <w:tcW w:w="2920" w:type="dxa"/>
            <w:vAlign w:val="bottom"/>
          </w:tcPr>
          <w:p>
            <w:pPr>
              <w:spacing w:after="0"/>
              <w:rPr>
                <w:sz w:val="19"/>
                <w:szCs w:val="19"/>
                <w:color w:val="auto"/>
              </w:rPr>
            </w:pPr>
          </w:p>
        </w:tc>
      </w:tr>
      <w:tr>
        <w:trPr>
          <w:trHeight w:val="28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Katherine Wood</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Katherine Wood</w:t>
            </w:r>
          </w:p>
        </w:tc>
        <w:tc>
          <w:tcPr>
            <w:tcW w:w="2920" w:type="dxa"/>
            <w:vAlign w:val="bottom"/>
          </w:tcPr>
          <w:p>
            <w:pPr>
              <w:spacing w:after="0"/>
              <w:rPr>
                <w:sz w:val="15"/>
                <w:szCs w:val="15"/>
                <w:color w:val="auto"/>
              </w:rPr>
            </w:pPr>
          </w:p>
        </w:tc>
      </w:tr>
      <w:tr>
        <w:trPr>
          <w:trHeight w:val="390"/>
        </w:trPr>
        <w:tc>
          <w:tcPr>
            <w:tcW w:w="3720" w:type="dxa"/>
            <w:vAlign w:val="bottom"/>
          </w:tcPr>
          <w:p>
            <w:pPr>
              <w:spacing w:after="0"/>
              <w:rPr>
                <w:sz w:val="24"/>
                <w:szCs w:val="24"/>
                <w:color w:val="auto"/>
              </w:rPr>
            </w:pPr>
          </w:p>
        </w:tc>
        <w:tc>
          <w:tcPr>
            <w:tcW w:w="29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15430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2">
            <w:col w:w="8100" w:space="720"/>
            <w:col w:w="2320"/>
          </w:cols>
          <w:pgMar w:left="320" w:top="981" w:right="439" w:bottom="1440" w:gutter="0" w:footer="0" w:header="0"/>
          <w:type w:val="continuous"/>
        </w:sectPr>
      </w:pPr>
    </w:p>
    <w:bookmarkStart w:id="64" w:name="page65"/>
    <w:bookmarkEnd w:id="64"/>
    <w:tbl>
      <w:tblPr>
        <w:tblLayout w:type="fixed"/>
        <w:tblInd w:w="1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20" w:type="dxa"/>
            <w:vAlign w:val="bottom"/>
            <w:gridSpan w:val="4"/>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60" w:type="dxa"/>
            <w:vAlign w:val="bottom"/>
          </w:tcPr>
          <w:p>
            <w:pPr>
              <w:spacing w:after="0"/>
              <w:rPr>
                <w:sz w:val="20"/>
                <w:szCs w:val="20"/>
                <w:color w:val="auto"/>
              </w:rPr>
            </w:pPr>
          </w:p>
        </w:tc>
      </w:tr>
      <w:tr>
        <w:trPr>
          <w:trHeight w:val="432"/>
        </w:trPr>
        <w:tc>
          <w:tcPr>
            <w:tcW w:w="9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412"/>
        </w:trPr>
        <w:tc>
          <w:tcPr>
            <w:tcW w:w="424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240" w:type="dxa"/>
            <w:vAlign w:val="bottom"/>
            <w:gridSpan w:val="3"/>
          </w:tcPr>
          <w:p>
            <w:pPr>
              <w:spacing w:after="0"/>
              <w:rPr>
                <w:sz w:val="24"/>
                <w:szCs w:val="24"/>
                <w:color w:val="auto"/>
              </w:rPr>
            </w:pP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470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4780" w:type="dxa"/>
            <w:vAlign w:val="bottom"/>
          </w:tcPr>
          <w:p>
            <w:pPr>
              <w:spacing w:after="0"/>
              <w:rPr>
                <w:sz w:val="24"/>
                <w:szCs w:val="24"/>
                <w:color w:val="auto"/>
              </w:rPr>
            </w:pP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44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5080" w:type="dxa"/>
            <w:vAlign w:val="bottom"/>
            <w:gridSpan w:val="2"/>
          </w:tcPr>
          <w:p>
            <w:pPr>
              <w:spacing w:after="0"/>
              <w:rPr>
                <w:sz w:val="24"/>
                <w:szCs w:val="24"/>
                <w:color w:val="auto"/>
              </w:rPr>
            </w:pP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F-6</w:t>
            </w:r>
          </w:p>
        </w:tc>
      </w:tr>
      <w:tr>
        <w:trPr>
          <w:trHeight w:val="412"/>
        </w:trPr>
        <w:tc>
          <w:tcPr>
            <w:tcW w:w="29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580" w:type="dxa"/>
            <w:vAlign w:val="bottom"/>
            <w:gridSpan w:val="5"/>
          </w:tcPr>
          <w:p>
            <w:pPr>
              <w:spacing w:after="0"/>
              <w:rPr>
                <w:sz w:val="24"/>
                <w:szCs w:val="24"/>
                <w:color w:val="auto"/>
              </w:rPr>
            </w:pP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F-7</w:t>
            </w:r>
          </w:p>
        </w:tc>
      </w:tr>
      <w:tr>
        <w:trPr>
          <w:trHeight w:val="412"/>
        </w:trPr>
        <w:tc>
          <w:tcPr>
            <w:tcW w:w="9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F-8</w:t>
            </w:r>
          </w:p>
        </w:tc>
      </w:tr>
      <w:tr>
        <w:trPr>
          <w:trHeight w:val="668"/>
        </w:trPr>
        <w:tc>
          <w:tcPr>
            <w:tcW w:w="2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jc w:val="center"/>
              <w:ind w:right="2850"/>
              <w:spacing w:after="0"/>
              <w:rPr>
                <w:sz w:val="20"/>
                <w:szCs w:val="20"/>
                <w:color w:val="auto"/>
              </w:rPr>
            </w:pPr>
            <w:r>
              <w:rPr>
                <w:rFonts w:ascii="Times New Roman" w:cs="Times New Roman" w:eastAsia="Times New Roman" w:hAnsi="Times New Roman"/>
                <w:sz w:val="18"/>
                <w:szCs w:val="18"/>
                <w:color w:val="auto"/>
                <w:w w:val="95"/>
              </w:rPr>
              <w:t>F-1</w:t>
            </w:r>
          </w:p>
        </w:tc>
        <w:tc>
          <w:tcPr>
            <w:tcW w:w="1760" w:type="dxa"/>
            <w:vAlign w:val="bottom"/>
          </w:tcPr>
          <w:p>
            <w:pPr>
              <w:spacing w:after="0"/>
              <w:rPr>
                <w:sz w:val="24"/>
                <w:szCs w:val="24"/>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LifeStance Health Group,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LifeStance Health Group, Inc. and its subsidiaries (the "Company") as of December 31, 2024 and 2023, and the related consolidated statements of operations and comprehensive loss, of changes in stockholders' equity and of cash flows for each of the three years in the period ended December 31, 2024, including the related notes (collectively referred to as the "consolidated financial statements").</w:t>
      </w:r>
    </w:p>
    <w:p>
      <w:pPr>
        <w:spacing w:after="0" w:line="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 xml:space="preserve">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did not maintain,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 because material weaknesses in internal control over financial reporting existed as of that date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not (i) designing and maintaining an effective control environment commensurate with the Company's financial reporting requirements due to an insufficient complement of resources in the accounting/finance and IT functions, with an appropriate level of knowledge, experience and training, (ii) maintaining formal accounting policies and procedures, and not designing and maintaining effective controls related to significant accounts and disclosures to achieve complete, accurate and timely financial accounting, reporting and disclosures, including controls over account reconciliations, segregation of duties and the preparation and review of journal entries, and (iii) designing and maintaining effective controls over IT general controls for information systems that are relevant to the preparation of the consolidated financial statements related to (a) program change management controls, (b) user access controls, (c) computer operations controls, and (d) testing and approval controls for program development.</w:t>
      </w:r>
    </w:p>
    <w:p>
      <w:pPr>
        <w:spacing w:after="0" w:line="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spacing w:after="0" w:line="261" w:lineRule="auto"/>
        <w:rPr>
          <w:sz w:val="20"/>
          <w:szCs w:val="20"/>
          <w:color w:val="auto"/>
        </w:rPr>
      </w:pPr>
      <w:r>
        <w:rPr>
          <w:rFonts w:ascii="Times New Roman" w:cs="Times New Roman" w:eastAsia="Times New Roman" w:hAnsi="Times New Roman"/>
          <w:sz w:val="18"/>
          <w:szCs w:val="18"/>
          <w:color w:val="auto"/>
        </w:rPr>
        <w:t>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Patient Accounts Receivable, Net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total revenue is reported at the amount that reflects the consideration to which the Company expects to be entitled in exchange for providing patient care. The Company reports revenue net of price concessions provided to patients. The differences between the price at which the Company expects to receive from patients and the standard billing rates are accounted for as contractual adjustments, discounts or implicit price concessions, which are deducted from gross revenue to arrive at net revenue. Patient accounts receivable are carried at the original charge for the services provided adjusted for explicit and implicit price concessions. Management regularly reviews data about the major payor sources of revenue and determines its estimates based on contractual agreements, its discount policies, and its historical experience. Patient accounts receivable, net were $131.8 million as of December 31, 2024.</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patient accounts receivable, net is a critical audit matter are (i) the significant judgment by management when developing the estimate of patient accounts receivable, net and (ii) a high degree of auditor judgment, subjectivity, and effort in performing procedures and evaluating the audit evidence obtained related to the estimate. As described above in the “Opinions on the Financial Statements and Internal Control over Financial Reporting” section, there is a material weakness related to the Company’s control environment, which impacted this matter.</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estimate of patient accounts receivable, net, (ii) evaluating the relevance and use of historical experience data as an input into the estimate, (iii) testing the completeness and accuracy of underlying historical experience data used in the estimate, and (iv) evaluating the historical accuracy of management’s estimate of the amount expected to be collected by (a) testing, on a sample basis, the completeness and accuracy of revenue transactions and cash collections used in management’s analysis and (b) comparing actual cash collections to the previously recorded patient accounts receivable.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LIFESTANCE HEALTH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par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154,571</w:t>
            </w:r>
          </w:p>
        </w:tc>
        <w:tc>
          <w:tcPr>
            <w:tcW w:w="10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78,824</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Patient accounts receivable, net</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131,802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125,405</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100" w:type="dxa"/>
            <w:vAlign w:val="bottom"/>
          </w:tcPr>
          <w:p>
            <w:pPr>
              <w:spacing w:after="0"/>
              <w:rPr>
                <w:sz w:val="18"/>
                <w:szCs w:val="18"/>
                <w:color w:val="auto"/>
              </w:rPr>
            </w:pPr>
          </w:p>
        </w:tc>
      </w:tr>
      <w:tr>
        <w:trPr>
          <w:trHeight w:val="210"/>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312,510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225,731</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188,222</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170,703</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221,072</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1,293,346</w:t>
            </w:r>
          </w:p>
        </w:tc>
        <w:tc>
          <w:tcPr>
            <w:tcW w:w="10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noncurrent assets</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1,805,788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1,884,238</w:t>
            </w:r>
          </w:p>
        </w:tc>
        <w:tc>
          <w:tcPr>
            <w:tcW w:w="100" w:type="dxa"/>
            <w:vAlign w:val="bottom"/>
          </w:tcPr>
          <w:p>
            <w:pPr>
              <w:spacing w:after="0"/>
              <w:rPr>
                <w:sz w:val="18"/>
                <w:szCs w:val="18"/>
                <w:color w:val="auto"/>
              </w:rPr>
            </w:pPr>
          </w:p>
        </w:tc>
      </w:tr>
      <w:tr>
        <w:trPr>
          <w:trHeight w:val="250"/>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2,118,298</w:t>
            </w:r>
          </w:p>
        </w:tc>
        <w:tc>
          <w:tcPr>
            <w:tcW w:w="1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2,109,969</w:t>
            </w:r>
          </w:p>
        </w:tc>
        <w:tc>
          <w:tcPr>
            <w:tcW w:w="100" w:type="dxa"/>
            <w:vAlign w:val="bottom"/>
            <w:shd w:val="clear" w:color="auto" w:fill="CFF0FC"/>
          </w:tcPr>
          <w:p>
            <w:pPr>
              <w:spacing w:after="0"/>
              <w:rPr>
                <w:sz w:val="21"/>
                <w:szCs w:val="21"/>
                <w:color w:val="auto"/>
              </w:rPr>
            </w:pPr>
          </w:p>
        </w:tc>
      </w:tr>
      <w:tr>
        <w:trPr>
          <w:trHeight w:val="196"/>
        </w:trPr>
        <w:tc>
          <w:tcPr>
            <w:tcW w:w="73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payroll expenses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117,461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102,478</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35,012</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46,475</w:t>
            </w:r>
          </w:p>
        </w:tc>
        <w:tc>
          <w:tcPr>
            <w:tcW w:w="10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202,873</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280,285</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181,357</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10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478,166</w:t>
            </w:r>
          </w:p>
        </w:tc>
        <w:tc>
          <w:tcPr>
            <w:tcW w:w="100" w:type="dxa"/>
            <w:vAlign w:val="bottom"/>
          </w:tcPr>
          <w:p>
            <w:pPr>
              <w:spacing w:after="0"/>
              <w:rPr>
                <w:sz w:val="18"/>
                <w:szCs w:val="18"/>
                <w:color w:val="auto"/>
              </w:rPr>
            </w:pPr>
          </w:p>
        </w:tc>
      </w:tr>
      <w:tr>
        <w:trPr>
          <w:trHeight w:val="20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672,013</w:t>
            </w: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681,039</w:t>
            </w:r>
          </w:p>
        </w:tc>
        <w:tc>
          <w:tcPr>
            <w:tcW w:w="100" w:type="dxa"/>
            <w:vAlign w:val="bottom"/>
            <w:shd w:val="clear" w:color="auto" w:fill="CFF0FC"/>
          </w:tcPr>
          <w:p>
            <w:pPr>
              <w:spacing w:after="0"/>
              <w:rPr>
                <w:sz w:val="18"/>
                <w:szCs w:val="18"/>
                <w:color w:val="auto"/>
              </w:rPr>
            </w:pPr>
          </w:p>
        </w:tc>
      </w:tr>
      <w:tr>
        <w:trPr>
          <w:trHeight w:val="210"/>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13)</w:t>
            </w:r>
          </w:p>
        </w:tc>
        <w:tc>
          <w:tcPr>
            <w:tcW w:w="4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3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 par value $0.01 per share; 25,000 shares authorized as of</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 and December 31, 2023; 0 shares issued and outstanding as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December 31, 2024 and December 31, 2023</w:t>
            </w:r>
          </w:p>
        </w:tc>
        <w:tc>
          <w:tcPr>
            <w:tcW w:w="4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 par value $0.01 per share; 800,000 shares authorized as of</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2024 and December 31, 2023; 382,735 and 378,725 shares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December 31, 2024 and December 31, 2023,</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4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00" w:type="dxa"/>
            <w:vAlign w:val="bottom"/>
            <w:shd w:val="clear" w:color="auto" w:fill="CFF0FC"/>
          </w:tcPr>
          <w:p>
            <w:pPr>
              <w:spacing w:after="0"/>
              <w:rPr>
                <w:sz w:val="20"/>
                <w:szCs w:val="20"/>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2,259,818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2,183,684</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(818,289 )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(760,846 )</w:t>
            </w:r>
          </w:p>
        </w:tc>
      </w:tr>
      <w:tr>
        <w:trPr>
          <w:trHeight w:val="210"/>
        </w:trPr>
        <w:tc>
          <w:tcPr>
            <w:tcW w:w="73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1,446,285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1,428,930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2,118,298</w:t>
            </w:r>
          </w:p>
        </w:tc>
        <w:tc>
          <w:tcPr>
            <w:tcW w:w="10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2,109,969</w:t>
            </w:r>
          </w:p>
        </w:tc>
        <w:tc>
          <w:tcPr>
            <w:tcW w:w="10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-4508500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-4217035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-4199890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-3093720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-2262505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-1971040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LIFESTANCE HEALTH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Net Loss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1,250,970</w:t>
            </w:r>
          </w:p>
        </w:tc>
        <w:tc>
          <w:tcPr>
            <w:tcW w:w="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1,055,665</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859,542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6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Center costs, excluding depreciation and amortization</w:t>
            </w: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shown separately below</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848,571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753,569</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622,525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363,062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410,793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377,993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70,950</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80,437</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69,198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1,282,583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1,244,799</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(31,613 )</w:t>
            </w:r>
          </w:p>
        </w:tc>
        <w:tc>
          <w:tcPr>
            <w:tcW w:w="5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(189,134 )</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(210,174 )</w:t>
            </w: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6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Gain (loss) on remeasurement of contingent</w:t>
            </w: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consideration</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3,972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(1,688 )</w:t>
            </w:r>
          </w:p>
        </w:tc>
        <w:tc>
          <w:tcPr>
            <w:tcW w:w="0" w:type="dxa"/>
            <w:vAlign w:val="bottom"/>
          </w:tcPr>
          <w:p>
            <w:pPr>
              <w:spacing w:after="0"/>
              <w:rPr>
                <w:sz w:val="1"/>
                <w:szCs w:val="1"/>
                <w:color w:val="auto"/>
              </w:rPr>
            </w:pPr>
          </w:p>
        </w:tc>
      </w:tr>
      <w:tr>
        <w:trPr>
          <w:trHeight w:val="202"/>
        </w:trPr>
        <w:tc>
          <w:tcPr>
            <w:tcW w:w="5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Transaction costs</w:t>
            </w:r>
          </w:p>
        </w:tc>
        <w:tc>
          <w:tcPr>
            <w:tcW w:w="3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(827 )</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(89 )</w:t>
            </w: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(722 )</w:t>
            </w: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(26,535 )</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(21,220 )</w:t>
            </w: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(19,928 )</w:t>
            </w:r>
          </w:p>
        </w:tc>
        <w:tc>
          <w:tcPr>
            <w:tcW w:w="0" w:type="dxa"/>
            <w:vAlign w:val="bottom"/>
          </w:tcPr>
          <w:p>
            <w:pPr>
              <w:spacing w:after="0"/>
              <w:rPr>
                <w:sz w:val="1"/>
                <w:szCs w:val="1"/>
                <w:color w:val="auto"/>
              </w:rPr>
            </w:pPr>
          </w:p>
        </w:tc>
      </w:tr>
      <w:tr>
        <w:trPr>
          <w:trHeight w:val="203"/>
        </w:trPr>
        <w:tc>
          <w:tcPr>
            <w:tcW w:w="5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expense</w:t>
            </w:r>
          </w:p>
        </w:tc>
        <w:tc>
          <w:tcPr>
            <w:tcW w:w="3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(363 )</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(112 )</w:t>
            </w: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(218 )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other expense</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(26,000 )</w:t>
            </w:r>
          </w:p>
        </w:tc>
        <w:tc>
          <w:tcPr>
            <w:tcW w:w="5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(17,449 )</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(22,556 )</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(57,613 )</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(206,583 )</w:t>
            </w:r>
          </w:p>
        </w:tc>
        <w:tc>
          <w:tcPr>
            <w:tcW w:w="3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(232,730 )</w:t>
            </w:r>
          </w:p>
        </w:tc>
        <w:tc>
          <w:tcPr>
            <w:tcW w:w="0" w:type="dxa"/>
            <w:vAlign w:val="bottom"/>
          </w:tcPr>
          <w:p>
            <w:pPr>
              <w:spacing w:after="0"/>
              <w:rPr>
                <w:sz w:val="1"/>
                <w:szCs w:val="1"/>
                <w:color w:val="auto"/>
              </w:rPr>
            </w:pPr>
          </w:p>
        </w:tc>
      </w:tr>
      <w:tr>
        <w:trPr>
          <w:trHeight w:val="203"/>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20,321</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(57,443 )</w:t>
            </w:r>
          </w:p>
        </w:tc>
        <w:tc>
          <w:tcPr>
            <w:tcW w:w="5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(186,262 )</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(215,564 )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NET LOSS PER SHARE, BASIC AND DILUTED</w:t>
            </w: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(0.15 )</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line="183" w:lineRule="exact"/>
              <w:rPr>
                <w:sz w:val="20"/>
                <w:szCs w:val="20"/>
                <w:color w:val="auto"/>
              </w:rPr>
            </w:pPr>
            <w:r>
              <w:rPr>
                <w:rFonts w:ascii="Times New Roman" w:cs="Times New Roman" w:eastAsia="Times New Roman" w:hAnsi="Times New Roman"/>
                <w:sz w:val="17"/>
                <w:szCs w:val="17"/>
                <w:color w:val="auto"/>
              </w:rPr>
              <w:t>(0.51 )</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(0.61 )</w:t>
            </w:r>
          </w:p>
        </w:tc>
        <w:tc>
          <w:tcPr>
            <w:tcW w:w="0" w:type="dxa"/>
            <w:vAlign w:val="bottom"/>
          </w:tcPr>
          <w:p>
            <w:pPr>
              <w:spacing w:after="0"/>
              <w:rPr>
                <w:sz w:val="1"/>
                <w:szCs w:val="1"/>
                <w:color w:val="auto"/>
              </w:rPr>
            </w:pPr>
          </w:p>
        </w:tc>
      </w:tr>
      <w:tr>
        <w:trPr>
          <w:trHeight w:val="161"/>
        </w:trPr>
        <w:tc>
          <w:tcPr>
            <w:tcW w:w="5560" w:type="dxa"/>
            <w:vAlign w:val="bottom"/>
            <w:tcBorders>
              <w:top w:val="single" w:sz="8" w:color="CFF0FC"/>
            </w:tcBorders>
          </w:tcPr>
          <w:p>
            <w:pPr>
              <w:ind w:left="20"/>
              <w:spacing w:after="0" w:line="161" w:lineRule="exact"/>
              <w:rPr>
                <w:sz w:val="20"/>
                <w:szCs w:val="20"/>
                <w:color w:val="auto"/>
              </w:rPr>
            </w:pPr>
            <w:r>
              <w:rPr>
                <w:rFonts w:ascii="Times New Roman" w:cs="Times New Roman" w:eastAsia="Times New Roman" w:hAnsi="Times New Roman"/>
                <w:sz w:val="17"/>
                <w:szCs w:val="17"/>
                <w:color w:val="auto"/>
              </w:rPr>
              <w:t>Weighted-average shares used to compute basic and</w:t>
            </w: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379,147</w:t>
            </w:r>
          </w:p>
        </w:tc>
        <w:tc>
          <w:tcPr>
            <w:tcW w:w="8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367,457</w:t>
            </w:r>
          </w:p>
        </w:tc>
        <w:tc>
          <w:tcPr>
            <w:tcW w:w="28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355,278</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560" w:type="dxa"/>
            <w:vAlign w:val="bottom"/>
          </w:tcPr>
          <w:p>
            <w:pPr>
              <w:ind w:left="100"/>
              <w:spacing w:after="0" w:line="184" w:lineRule="exact"/>
              <w:rPr>
                <w:sz w:val="20"/>
                <w:szCs w:val="20"/>
                <w:color w:val="auto"/>
              </w:rPr>
            </w:pPr>
            <w:r>
              <w:rPr>
                <w:rFonts w:ascii="Times New Roman" w:cs="Times New Roman" w:eastAsia="Times New Roman" w:hAnsi="Times New Roman"/>
                <w:sz w:val="17"/>
                <w:szCs w:val="17"/>
                <w:color w:val="auto"/>
              </w:rPr>
              <w:t>diluted net loss per share</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(57,443 )</w:t>
            </w:r>
          </w:p>
        </w:tc>
        <w:tc>
          <w:tcPr>
            <w:tcW w:w="5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(186,262 )</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(215,564 )</w:t>
            </w: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Unrealized (losses) gains on cash flow hedge, net</w:t>
            </w: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of tax</w:t>
            </w:r>
          </w:p>
        </w:tc>
        <w:tc>
          <w:tcPr>
            <w:tcW w:w="3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(1,374 )</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(971 )</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(58,817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(187,233</w:t>
            </w:r>
          </w:p>
        </w:tc>
        <w:tc>
          <w:tcPr>
            <w:tcW w:w="28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(212,290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-2828290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-2828290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-1645285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-1645285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-1379220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-1379220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-1087755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-1071245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-1087755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-1071245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-162560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-162560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LIFESTANCE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2760" w:type="dxa"/>
            <w:vAlign w:val="bottom"/>
            <w:gridSpan w:val="5"/>
            <w:vMerge w:val="restart"/>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w:t>
            </w:r>
          </w:p>
        </w:tc>
        <w:tc>
          <w:tcPr>
            <w:tcW w:w="16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00" w:type="dxa"/>
            <w:vAlign w:val="bottom"/>
          </w:tcPr>
          <w:p>
            <w:pPr>
              <w:spacing w:after="0"/>
              <w:rPr>
                <w:sz w:val="19"/>
                <w:szCs w:val="19"/>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80" w:type="dxa"/>
            <w:vAlign w:val="bottom"/>
          </w:tcPr>
          <w:p>
            <w:pPr>
              <w:spacing w:after="0"/>
              <w:rPr>
                <w:sz w:val="19"/>
                <w:szCs w:val="19"/>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374,255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1,898,357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(357,072 )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(215,564 )</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(215,564 )</w:t>
            </w:r>
          </w:p>
        </w:tc>
        <w:tc>
          <w:tcPr>
            <w:tcW w:w="0" w:type="dxa"/>
            <w:vAlign w:val="bottom"/>
          </w:tcPr>
          <w:p>
            <w:pPr>
              <w:spacing w:after="0"/>
              <w:rPr>
                <w:sz w:val="1"/>
                <w:szCs w:val="1"/>
                <w:color w:val="auto"/>
              </w:rPr>
            </w:pPr>
          </w:p>
        </w:tc>
      </w:tr>
      <w:tr>
        <w:trPr>
          <w:trHeight w:val="198"/>
        </w:trPr>
        <w:tc>
          <w:tcPr>
            <w:tcW w:w="30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(485 )</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(463 )</w:t>
            </w: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(363 )</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(1,357 )</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(1,360 )</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Surrender of common stock</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(132 )</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(981 )</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(982 )</w:t>
            </w: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188,790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375,964</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2,084,324</w:t>
            </w:r>
          </w:p>
        </w:tc>
        <w:tc>
          <w:tcPr>
            <w:tcW w:w="2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(572,636 )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(186,262 )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(186,262 )</w:t>
            </w: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Adoption of ASU 2016-13</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(1,948 )</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(1,948 )</w:t>
            </w:r>
          </w:p>
        </w:tc>
        <w:tc>
          <w:tcPr>
            <w:tcW w:w="0" w:type="dxa"/>
            <w:vAlign w:val="bottom"/>
          </w:tcPr>
          <w:p>
            <w:pPr>
              <w:spacing w:after="0"/>
              <w:rPr>
                <w:sz w:val="1"/>
                <w:szCs w:val="1"/>
                <w:color w:val="auto"/>
              </w:rPr>
            </w:pPr>
          </w:p>
        </w:tc>
      </w:tr>
      <w:tr>
        <w:trPr>
          <w:trHeight w:val="198"/>
        </w:trPr>
        <w:tc>
          <w:tcPr>
            <w:tcW w:w="30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(2,070 )</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(3,379 )</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(3,399 )</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(971 )</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(971 )</w:t>
            </w: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378,725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2,183,684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(760,846 )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(57,443 )</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(57,443 )</w:t>
            </w:r>
          </w:p>
        </w:tc>
        <w:tc>
          <w:tcPr>
            <w:tcW w:w="0" w:type="dxa"/>
            <w:vAlign w:val="bottom"/>
          </w:tcPr>
          <w:p>
            <w:pPr>
              <w:spacing w:after="0"/>
              <w:rPr>
                <w:sz w:val="1"/>
                <w:szCs w:val="1"/>
                <w:color w:val="auto"/>
              </w:rPr>
            </w:pPr>
          </w:p>
        </w:tc>
      </w:tr>
      <w:tr>
        <w:trPr>
          <w:trHeight w:val="198"/>
        </w:trPr>
        <w:tc>
          <w:tcPr>
            <w:tcW w:w="30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(71 )</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(3,211 )</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(1,374 )</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(1,374 )</w:t>
            </w: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382,735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2,259,818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(818,289 )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-2245360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-2245360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-2245360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-2245360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-2245360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-24765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LIFESTANCE HEALTH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7"/>
        </w:trPr>
        <w:tc>
          <w:tcPr>
            <w:tcW w:w="6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7"/>
                <w:szCs w:val="17"/>
                <w:color w:val="auto"/>
              </w:rPr>
            </w:pPr>
          </w:p>
        </w:tc>
      </w:tr>
      <w:tr>
        <w:trPr>
          <w:trHeight w:val="19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(57,443 )</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(186,262 )</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(215,564 )</w:t>
            </w:r>
          </w:p>
        </w:tc>
      </w:tr>
      <w:tr>
        <w:trPr>
          <w:trHeight w:val="181"/>
        </w:trPr>
        <w:tc>
          <w:tcPr>
            <w:tcW w:w="628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4"/>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activities: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70,950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80,437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69,198</w:t>
            </w:r>
          </w:p>
        </w:tc>
        <w:tc>
          <w:tcPr>
            <w:tcW w:w="120" w:type="dxa"/>
            <w:vAlign w:val="bottom"/>
          </w:tcPr>
          <w:p>
            <w:pPr>
              <w:spacing w:after="0"/>
              <w:rPr>
                <w:sz w:val="17"/>
                <w:szCs w:val="17"/>
                <w:color w:val="auto"/>
              </w:rPr>
            </w:pP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Non-cash operating lease costs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39,502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39,987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38,161</w:t>
            </w:r>
          </w:p>
        </w:tc>
        <w:tc>
          <w:tcPr>
            <w:tcW w:w="120" w:type="dxa"/>
            <w:vAlign w:val="bottom"/>
            <w:shd w:val="clear" w:color="auto" w:fill="CFF0FC"/>
          </w:tcPr>
          <w:p>
            <w:pPr>
              <w:spacing w:after="0"/>
              <w:rPr>
                <w:sz w:val="17"/>
                <w:szCs w:val="17"/>
                <w:color w:val="auto"/>
              </w:rPr>
            </w:pP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76,172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99,388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187,430</w:t>
            </w:r>
          </w:p>
        </w:tc>
        <w:tc>
          <w:tcPr>
            <w:tcW w:w="120" w:type="dxa"/>
            <w:vAlign w:val="bottom"/>
          </w:tcPr>
          <w:p>
            <w:pPr>
              <w:spacing w:after="0"/>
              <w:rPr>
                <w:sz w:val="17"/>
                <w:szCs w:val="17"/>
                <w:color w:val="auto"/>
              </w:rPr>
            </w:pP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(958 )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(21,920 )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(16,733 )</w:t>
            </w: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120" w:type="dxa"/>
            <w:vAlign w:val="bottom"/>
          </w:tcPr>
          <w:p>
            <w:pPr>
              <w:spacing w:after="0"/>
              <w:rPr>
                <w:sz w:val="17"/>
                <w:szCs w:val="17"/>
                <w:color w:val="auto"/>
              </w:rPr>
            </w:pP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Amortization of discount and debt issue costs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120" w:type="dxa"/>
            <w:vAlign w:val="bottom"/>
            <w:shd w:val="clear" w:color="auto" w:fill="CFF0FC"/>
          </w:tcPr>
          <w:p>
            <w:pPr>
              <w:spacing w:after="0"/>
              <w:rPr>
                <w:sz w:val="17"/>
                <w:szCs w:val="17"/>
                <w:color w:val="auto"/>
              </w:rPr>
            </w:pP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 loss on remeasurement of contingent consideration</w:t>
            </w:r>
          </w:p>
        </w:tc>
        <w:tc>
          <w:tcPr>
            <w:tcW w:w="32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(1,725 )</w:t>
            </w:r>
          </w:p>
        </w:tc>
        <w:tc>
          <w:tcPr>
            <w:tcW w:w="32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(3,972 )</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120" w:type="dxa"/>
            <w:vAlign w:val="bottom"/>
          </w:tcPr>
          <w:p>
            <w:pPr>
              <w:spacing w:after="0"/>
              <w:rPr>
                <w:sz w:val="17"/>
                <w:szCs w:val="17"/>
                <w:color w:val="auto"/>
              </w:rPr>
            </w:pP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7,080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FF0FC"/>
          </w:tcPr>
          <w:p>
            <w:pPr>
              <w:spacing w:after="0"/>
              <w:rPr>
                <w:sz w:val="17"/>
                <w:szCs w:val="17"/>
                <w:color w:val="auto"/>
              </w:rPr>
            </w:pP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operating assets and liabilities, net of businesses acquired:</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Patient accounts receivable, net</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(6,397 )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(24,175 )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(21,663 )</w:t>
            </w:r>
          </w:p>
        </w:tc>
      </w:tr>
      <w:tr>
        <w:trPr>
          <w:trHeight w:val="203"/>
        </w:trPr>
        <w:tc>
          <w:tcPr>
            <w:tcW w:w="6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(3,332 )</w:t>
            </w:r>
          </w:p>
        </w:tc>
        <w:tc>
          <w:tcPr>
            <w:tcW w:w="32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(3,070 )</w:t>
            </w: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(3,431 )</w:t>
            </w:r>
          </w:p>
        </w:tc>
      </w:tr>
      <w:tr>
        <w:trPr>
          <w:trHeight w:val="203"/>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(5,605 )</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7,667</w:t>
            </w:r>
          </w:p>
        </w:tc>
        <w:tc>
          <w:tcPr>
            <w:tcW w:w="120" w:type="dxa"/>
            <w:vAlign w:val="bottom"/>
            <w:shd w:val="clear" w:color="auto" w:fill="CFF0FC"/>
          </w:tcPr>
          <w:p>
            <w:pPr>
              <w:spacing w:after="0"/>
              <w:rPr>
                <w:sz w:val="17"/>
                <w:szCs w:val="17"/>
                <w:color w:val="auto"/>
              </w:rPr>
            </w:pPr>
          </w:p>
        </w:tc>
      </w:tr>
      <w:tr>
        <w:trPr>
          <w:trHeight w:val="203"/>
        </w:trPr>
        <w:tc>
          <w:tcPr>
            <w:tcW w:w="6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payroll expenses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26,484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12,100</w:t>
            </w:r>
          </w:p>
        </w:tc>
        <w:tc>
          <w:tcPr>
            <w:tcW w:w="120" w:type="dxa"/>
            <w:vAlign w:val="bottom"/>
          </w:tcPr>
          <w:p>
            <w:pPr>
              <w:spacing w:after="0"/>
              <w:rPr>
                <w:sz w:val="17"/>
                <w:szCs w:val="17"/>
                <w:color w:val="auto"/>
              </w:rPr>
            </w:pPr>
          </w:p>
        </w:tc>
      </w:tr>
      <w:tr>
        <w:trPr>
          <w:trHeight w:val="203"/>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(46,748 )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(37,564 )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(13,169 )</w:t>
            </w:r>
          </w:p>
        </w:tc>
      </w:tr>
      <w:tr>
        <w:trPr>
          <w:trHeight w:val="203"/>
        </w:trPr>
        <w:tc>
          <w:tcPr>
            <w:tcW w:w="6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accrued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13,625</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10,207</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120" w:type="dxa"/>
            <w:vAlign w:val="bottom"/>
          </w:tcPr>
          <w:p>
            <w:pPr>
              <w:spacing w:after="0"/>
              <w:rPr>
                <w:sz w:val="17"/>
                <w:szCs w:val="17"/>
                <w:color w:val="auto"/>
              </w:rPr>
            </w:pPr>
          </w:p>
        </w:tc>
      </w:tr>
      <w:tr>
        <w:trPr>
          <w:trHeight w:val="196"/>
        </w:trPr>
        <w:tc>
          <w:tcPr>
            <w:tcW w:w="6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107,260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(16,884 )</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52,789</w:t>
            </w:r>
          </w:p>
        </w:tc>
        <w:tc>
          <w:tcPr>
            <w:tcW w:w="120" w:type="dxa"/>
            <w:vAlign w:val="bottom"/>
            <w:shd w:val="clear" w:color="auto" w:fill="CFF0FC"/>
          </w:tcPr>
          <w:p>
            <w:pPr>
              <w:spacing w:after="0"/>
              <w:rPr>
                <w:sz w:val="17"/>
                <w:szCs w:val="17"/>
                <w:color w:val="auto"/>
              </w:rPr>
            </w:pPr>
          </w:p>
        </w:tc>
      </w:tr>
      <w:tr>
        <w:trPr>
          <w:trHeight w:val="196"/>
        </w:trPr>
        <w:tc>
          <w:tcPr>
            <w:tcW w:w="6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(21,566 )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(40,520 )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(79,255 )</w:t>
            </w: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(19,820 )</w:t>
            </w: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(60,206 )</w:t>
            </w:r>
          </w:p>
        </w:tc>
      </w:tr>
      <w:tr>
        <w:trPr>
          <w:trHeight w:val="20"/>
        </w:trPr>
        <w:tc>
          <w:tcPr>
            <w:tcW w:w="6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(21,566 )</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(60,340 )</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(139,461 )</w:t>
            </w:r>
          </w:p>
        </w:tc>
      </w:tr>
      <w:tr>
        <w:trPr>
          <w:trHeight w:val="196"/>
        </w:trPr>
        <w:tc>
          <w:tcPr>
            <w:tcW w:w="6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long-term debt, net of discount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287,809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57,753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257,324</w:t>
            </w:r>
          </w:p>
        </w:tc>
        <w:tc>
          <w:tcPr>
            <w:tcW w:w="120" w:type="dxa"/>
            <w:vAlign w:val="bottom"/>
            <w:shd w:val="clear" w:color="auto" w:fill="CFF0FC"/>
          </w:tcPr>
          <w:p>
            <w:pPr>
              <w:spacing w:after="0"/>
              <w:rPr>
                <w:sz w:val="17"/>
                <w:szCs w:val="17"/>
                <w:color w:val="auto"/>
              </w:rPr>
            </w:pP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of debt issue costs</w:t>
            </w:r>
          </w:p>
        </w:tc>
        <w:tc>
          <w:tcPr>
            <w:tcW w:w="32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(1,818 )</w:t>
            </w:r>
          </w:p>
        </w:tc>
        <w:tc>
          <w:tcPr>
            <w:tcW w:w="32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(188 )</w:t>
            </w: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(7,266 )</w:t>
            </w: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Payments of long-term debt</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(289,494 )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(2,470 )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(187,766 )</w:t>
            </w:r>
          </w:p>
        </w:tc>
      </w:tr>
      <w:tr>
        <w:trPr>
          <w:trHeight w:val="202"/>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Prepayment for debt paydown</w:t>
            </w:r>
          </w:p>
        </w:tc>
        <w:tc>
          <w:tcPr>
            <w:tcW w:w="320" w:type="dxa"/>
            <w:vAlign w:val="bottom"/>
          </w:tcPr>
          <w:p>
            <w:pPr>
              <w:spacing w:after="0"/>
              <w:rPr>
                <w:sz w:val="17"/>
                <w:szCs w:val="17"/>
                <w:color w:val="auto"/>
              </w:rPr>
            </w:pPr>
          </w:p>
        </w:tc>
        <w:tc>
          <w:tcPr>
            <w:tcW w:w="13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(1,609 )</w:t>
            </w: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Payments of contingent consideration</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(6,444 )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(7,668 )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(12,515 )</w:t>
            </w: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Taxes related to net share settlement of equity awards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(904 )</w:t>
            </w:r>
          </w:p>
        </w:tc>
      </w:tr>
      <w:tr>
        <w:trPr>
          <w:trHeight w:val="20"/>
        </w:trPr>
        <w:tc>
          <w:tcPr>
            <w:tcW w:w="6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(9,947 )</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47,427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47,264</w:t>
            </w:r>
          </w:p>
        </w:tc>
        <w:tc>
          <w:tcPr>
            <w:tcW w:w="120" w:type="dxa"/>
            <w:vAlign w:val="bottom"/>
            <w:shd w:val="clear" w:color="auto" w:fill="CFF0FC"/>
          </w:tcPr>
          <w:p>
            <w:pPr>
              <w:spacing w:after="0"/>
              <w:rPr>
                <w:sz w:val="17"/>
                <w:szCs w:val="17"/>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75,747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(29,797 )</w:t>
            </w: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(39,408 )</w:t>
            </w:r>
          </w:p>
        </w:tc>
      </w:tr>
      <w:tr>
        <w:trPr>
          <w:trHeight w:val="203"/>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 - 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78,824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108,621</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148,029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 END OF PERIOD</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154,571</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78,824</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108,621</w:t>
            </w:r>
          </w:p>
        </w:tc>
        <w:tc>
          <w:tcPr>
            <w:tcW w:w="120" w:type="dxa"/>
            <w:vAlign w:val="bottom"/>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2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interest, net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24,992</w:t>
            </w:r>
          </w:p>
        </w:tc>
        <w:tc>
          <w:tcPr>
            <w:tcW w:w="260" w:type="dxa"/>
            <w:vAlign w:val="bottom"/>
          </w:tcPr>
          <w:p>
            <w:pPr>
              <w:spacing w:after="0"/>
              <w:rPr>
                <w:sz w:val="17"/>
                <w:szCs w:val="17"/>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21,044</w:t>
            </w:r>
          </w:p>
        </w:tc>
        <w:tc>
          <w:tcPr>
            <w:tcW w:w="260" w:type="dxa"/>
            <w:vAlign w:val="bottom"/>
          </w:tcPr>
          <w:p>
            <w:pPr>
              <w:spacing w:after="0"/>
              <w:rPr>
                <w:sz w:val="17"/>
                <w:szCs w:val="17"/>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14,365</w:t>
            </w:r>
          </w:p>
        </w:tc>
        <w:tc>
          <w:tcPr>
            <w:tcW w:w="120" w:type="dxa"/>
            <w:vAlign w:val="bottom"/>
          </w:tcPr>
          <w:p>
            <w:pPr>
              <w:spacing w:after="0"/>
              <w:rPr>
                <w:sz w:val="17"/>
                <w:szCs w:val="17"/>
                <w:color w:val="auto"/>
              </w:rPr>
            </w:pP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paid for taxes, net of refunds</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2,237</w:t>
            </w:r>
          </w:p>
        </w:tc>
        <w:tc>
          <w:tcPr>
            <w:tcW w:w="120" w:type="dxa"/>
            <w:vAlign w:val="bottom"/>
            <w:shd w:val="clear" w:color="auto" w:fill="CFF0FC"/>
          </w:tcPr>
          <w:p>
            <w:pPr>
              <w:spacing w:after="0"/>
              <w:rPr>
                <w:sz w:val="17"/>
                <w:szCs w:val="17"/>
                <w:color w:val="auto"/>
              </w:rPr>
            </w:pPr>
          </w:p>
        </w:tc>
      </w:tr>
      <w:tr>
        <w:trPr>
          <w:trHeight w:val="181"/>
        </w:trPr>
        <w:tc>
          <w:tcPr>
            <w:tcW w:w="6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SUPPLEMENTAL DISCLOSURES OF NON CASH INVESTING AND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Equipment financed through finance leases</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20" w:type="dxa"/>
            <w:vAlign w:val="bottom"/>
            <w:shd w:val="clear" w:color="auto" w:fill="CFF0FC"/>
          </w:tcPr>
          <w:p>
            <w:pPr>
              <w:spacing w:after="0"/>
              <w:rPr>
                <w:sz w:val="17"/>
                <w:szCs w:val="17"/>
                <w:color w:val="auto"/>
              </w:rPr>
            </w:pPr>
          </w:p>
        </w:tc>
      </w:tr>
      <w:tr>
        <w:trPr>
          <w:trHeight w:val="203"/>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Contingent consideration incurred in acquisitions of businesses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260" w:type="dxa"/>
            <w:vAlign w:val="bottom"/>
          </w:tcPr>
          <w:p>
            <w:pPr>
              <w:spacing w:after="0"/>
              <w:rPr>
                <w:sz w:val="17"/>
                <w:szCs w:val="17"/>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11,221</w:t>
            </w:r>
          </w:p>
        </w:tc>
        <w:tc>
          <w:tcPr>
            <w:tcW w:w="120" w:type="dxa"/>
            <w:vAlign w:val="bottom"/>
          </w:tcPr>
          <w:p>
            <w:pPr>
              <w:spacing w:after="0"/>
              <w:rPr>
                <w:sz w:val="17"/>
                <w:szCs w:val="17"/>
                <w:color w:val="auto"/>
              </w:rPr>
            </w:pPr>
          </w:p>
        </w:tc>
      </w:tr>
      <w:tr>
        <w:trPr>
          <w:trHeight w:val="20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Acquisition of property and equipment included in liabilities</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7,891</w:t>
            </w:r>
          </w:p>
        </w:tc>
        <w:tc>
          <w:tcPr>
            <w:tcW w:w="120" w:type="dxa"/>
            <w:vAlign w:val="bottom"/>
            <w:shd w:val="clear" w:color="auto" w:fill="CFF0FC"/>
          </w:tcPr>
          <w:p>
            <w:pPr>
              <w:spacing w:after="0"/>
              <w:rPr>
                <w:sz w:val="17"/>
                <w:szCs w:val="17"/>
                <w:color w:val="auto"/>
              </w:rPr>
            </w:pPr>
          </w:p>
        </w:tc>
      </w:tr>
      <w:tr>
        <w:trPr>
          <w:trHeight w:val="222"/>
        </w:trPr>
        <w:tc>
          <w:tcPr>
            <w:tcW w:w="6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Surrender of common stock</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-3175000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-3175000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-3175000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-2643505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-2643505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-2643505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-1597660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-1597660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-1597660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-1332230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-1332230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-1332230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LIFESTANCE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LifeStance Health Group was formed as a Delaware corporation on January 28, 2021 for the purpose of completing an initial public offering (“IPO”) and related transactions in order to carry on the business of LifeStance TopCo, L.P. (“LifeStance TopCo”) and subsidiaries. Prior to the IPO, LifeStance Health Group had no operations. LifeStance Health Group is the sole equity holder of LifeStance TopCo and operates and controls all of the business and affairs. As a result, LifeStance Health Group consolidates the financial results of LifeStance TopCo, its wholly-owned subsidiaries and variable interest entities. LifeStance Health Group and LifeStance TopCo are collectively referred to herein as the “Company” or "LifeStance".</w:t>
      </w:r>
    </w:p>
    <w:p>
      <w:pPr>
        <w:spacing w:after="0" w:line="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LifeStance Health Group, Inc. ("LifeStance Health Group") operates as a provider of outpatient mental health services, spanning psychiatric evaluations and treatment, psychological and neuropsychological testing, and individual, family and group therapy.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U.S. generally accepted accounting principles (“GAAP”). The accompanying consolidated financial statements include the results of the Company, its wholly-owned subsidiaries, and variable interest entities in which the Company has an interest and is the primary beneficiary (see “Variable Interest Entities” below). Intercompany transactions and balances have been eliminated in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Accounting Estimates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a number of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bases its estimates on historical experience, current business factors, and various other assumptions that the Company believes are necessary to consider to form a basis for making judgments about the carrying values of assets and liabilities, the recorded amounts of revenue and expenses, and the disclosure of contingent assets and liabilities.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consolidated financial statements may change as new events occur, as more experience is acquired, as additional information is obtained and as the Company’s operating environment evolves.</w:t>
      </w:r>
    </w:p>
    <w:p>
      <w:pPr>
        <w:spacing w:after="0" w:line="7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Changes in estimates are made when circumstances warrant. Significant estimates and assumptions by management may affect total revenue impacted by variable consideration and discounts, price concessions, allowance for credit losses, the carrying value of long-lived assets (including goodwill and intangible assets), acquisition accounting, the calculation of a contingent liability in connection with an acquisition, the provision for income taxes and related deferred tax accounts, certain accrued liabilities, payor settlements, contingencies, litigation and related legal accruals and the value attributed to employee stock-based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 single operating and reportable segment – mental health services. The Company’s chief operating decision maker is its Chief Executive Officer, who reviews consolidated financial information for purposes of making operating decisions, assessing financial performance, and allocating resources. As the Company operates as one operating segment, all required segment financial information is found in the accompanying consolidated financial statements. For the periods presented, all of the Company’s long-lived assets were located in the United States, and all revenues from providing counseling sessions to patients were earned in the United States. The accounting policies for segment reporting are the same as for the Company as a whole.</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chief operating decision maker assesses performance for the mental health services segment and decides how to allocate resources based on net loss, which is reported on the accompanying consolidated statements of operations and comprehensive loss as net loss. Net loss is used to monitor budget versus actual results for assessment of segment performance. The chief operating decision maker considers budget-to-actual variances on a monthly basis when making decisions about allocating resources and assessing the performance of the segment. The chief operating decision maker utilizes consolidated expense information regularly provided in the budget-to-actual analysis in order to assist with assessing performance and deciding how to allocate resources, which align with the consolidated expense categories as disclosed on the face of the accompanying consolidated statements of operations and comprehensive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ind w:right="140"/>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accompanying consolidated balance sheets as total assets. The chief operating decision maker does not utilize total assets in the assessment of performance and allocation of resource decisions as the assessment and decisions are not made on the basis of total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evaluates its ownership, contractual and other interests in entities to determine if it has any variable interest in a variable interest entity (“VIE”). These evaluations are complex, involve judgment, and the use of estimates and assumptions based on available information.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The Company performs ongoing reassessments of whether changes in the facts and circumstances regarding the Company’s involvement with a VIE will cause the consolidation conclusion to change.</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acquires and operates certain care centers which are deemed to be Friendly-Physician Entities (“FPEs”). As part of an FPE acquisition, the Company acquires 100% of the non-medical assets, however due to legal requirements the physician-owners must retain 100% of the equity interest. The Company’s agreements with FPEs generally consist of both a Management Service Agreement, which provides for various administrative and management services to be provided by the Company to the FPE, and Stock Transfer Restriction (“STR”) agreements with the physician-owners of the FPEs, which provide for the transition of ownership interests of the FPEs under certain conditions. The outstanding voting equity instruments of the FPEs are owned by the nominee shareholders appointed by the Company under the terms of the STR agreements. The Company has the right to receive income as an ongoing management fee, which effectively absorbs all of the residual interests and has also provided financial support through loans to the FPEs. The Company has exclusive responsibility for the provision of all nonmedical services including facilities, technology and intellectual property required for the day-to-day operation and management of each of the FPEs, and makes recommendations to the FPEs in establishing the guidelines for the employment and compensation of the physicians and other employees of the FPEs. In addition, the STR agreements provide that the Company has the right to designate an appropriately licensed person(s) to purchase the equity interest of the FPE for a nominal amount in the event of a succession event at the Company’s discretion. Based on the provisions of these agreements, the Company determined that the FPEs are VIEs due to the equity holder having insufficient capital at risk, and the Company has a variable interest in the FPEs.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contractual arrangements described above allow the Company to direct the activities that most significantly affect the economic performance of the FPEs. Accordingly, the Company is the primary beneficiary of the FPEs and consolidates the FPEs under the VIE model. Furthermore, as a direct result of nominal initial equity contributions by the physicians, the financial support the Company provides to the FPEs (e.g., loans) and the provisions of the contractual arrangements and nominee shareholder succession arrangements described above, the interests held by noncontrolling interest holders lack economic substance and do not provide them with the ability to participate in the residual profits or losses generated by the FPEs. Therefore, all income and expenses recognized by the FPEs are allocated to the Company. The Company does not hold interests in any VIEs for which the Company is not deemed to be the primary beneficiary.</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noted previously, the Company acquires 100% of the non-medical assets of the VIEs. The aggregate carrying values of the VIEs total assets and total liabilities not purchased by the Company but included on the consolidated balance sheets were not material at December 31, 2024 and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revenue is reported at the amount that reflects the consideration to which the Company expects to be entitled in exchange for providing patient care. These amounts are due from patients, third-party payors (including health insurers and government programs) and others and include variable consideration for retroactive adjustments due to settlement of audits, reviews and investigations. Generally, the Company bills patients and third-party payors several days after the services are performed. The Company has elected the practical expedient not to adjust the promised amount of consideration for the effects of a significant financing component as the Company expects the period between when service is transferred to a customer and when the customer pays for the service will be one year or less. Revenue is recognized as the related performance obligation is satisfied.</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patient revenue, the patient is the Company’s customer, and a signed patient treatment consent generally represents a written contract between the Company and the patient. Performance obligations are determined based on the nature of the services provided by the Company. Generally, the Company’s performance obligations are satisfied over time and relate to counseling sessions that are discrete in nature and commence and terminate at the discretion of the patient and thus each individual counseling session is a performance obligation. Revenue for performance obligations satisfied over time is recognized when the services are rendered based on the amount the Company expects to be entitled to for the services provided to the patient. The Company believes this method provides a faithful depiction of the transfer of services.</w:t>
      </w:r>
    </w:p>
    <w:p>
      <w:pPr>
        <w:spacing w:after="0" w:line="79" w:lineRule="exact"/>
        <w:rPr>
          <w:sz w:val="20"/>
          <w:szCs w:val="20"/>
          <w:color w:val="auto"/>
        </w:rPr>
      </w:pPr>
    </w:p>
    <w:p>
      <w:pPr>
        <w:ind w:right="800"/>
        <w:spacing w:after="0" w:line="261" w:lineRule="auto"/>
        <w:rPr>
          <w:sz w:val="20"/>
          <w:szCs w:val="20"/>
          <w:color w:val="auto"/>
        </w:rPr>
      </w:pPr>
      <w:r>
        <w:rPr>
          <w:rFonts w:ascii="Times New Roman" w:cs="Times New Roman" w:eastAsia="Times New Roman" w:hAnsi="Times New Roman"/>
          <w:sz w:val="18"/>
          <w:szCs w:val="18"/>
          <w:color w:val="auto"/>
        </w:rPr>
        <w:t>Because all of its performance obligations relate to contracts with a duration of less than one year, the Company has elected to apply the optional exemption provided in Accounting Standards Codification (“ASC”) 606-10-50-14(A) and, therefore, is not required to</w:t>
      </w: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ind w:right="320"/>
        <w:spacing w:after="0" w:line="282" w:lineRule="auto"/>
        <w:rPr>
          <w:sz w:val="20"/>
          <w:szCs w:val="20"/>
          <w:color w:val="auto"/>
        </w:rPr>
      </w:pPr>
      <w:r>
        <w:rPr>
          <w:rFonts w:ascii="Times New Roman" w:cs="Times New Roman" w:eastAsia="Times New Roman" w:hAnsi="Times New Roman"/>
          <w:sz w:val="18"/>
          <w:szCs w:val="18"/>
          <w:color w:val="auto"/>
        </w:rPr>
        <w:t>disclose the aggregate amount of the transaction prices allocated to performance obligations that are unsatisfied or partially unsatisfied at the end of the reporting period.</w:t>
      </w:r>
    </w:p>
    <w:p>
      <w:pPr>
        <w:spacing w:after="0" w:line="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determined the underlying nature of the services provided are consistent irrespective of the payor type. Therefore, management assesses price concessions using a portfolio approach in its contracts with patients. The Company reports revenue net of price concessions related to contractual adjustments provided to third-party payors, discounts provided to uninsured patients in accordance with the Company’s policy and/or implicit price concessions provided to patients. The differences between the price at which the Company expects to receive from patients and the standard billing rates are accounted for as contractual adjustments, discounts or implicit price concessions, which are deducted from gross revenue to arrive at net revenues. The Company determines its estimates of contractual adjustments, discounts and implicit price concessions based on contractual agreements, its discount policies, and its historical experience.</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Settlements with third-party payors for retroactive adjustments due to audits, review or investigations and disputes by either the Company or the third-party payors within the allowable specific timeframe are considered variable consideration and are included in the determination of estimated transaction price for providing patient services. These settlements are estimated based on the terms of the payment agreement with the payor, correspondence from the payor and the Company’s historical settlement activity, including an assessment to ensure that it is probable that a significant reversal in the amount of cumulative revenue recognized will not occur when the uncertainty associated with the retroactive adjustment is subsequently resolved. Estimated settlements are adjusted in future periods as new information becomes available, or as years are settled or are no longer subject to such audits, reviews and investigations. Generally, patients who are covered by third-party payors are responsible for related deductibles and coinsurance, which vary in amount.</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also provides services to uninsured patients, and offers those uninsured patients a discount, either by policy or law, from standard charges. The Company estimates the transaction price for patients with deductibles and coinsurance and for those who are uninsured based on historical experience and current market conditions. The initial estimate of the transaction price is determined by reducing the standard charge by any contractual adjustments, discounts, and implicit price concessions. Subsequent changes to the estimate of the transaction price are generally recorded as adjustments to patient service revenue in the period of the change. Adjustments arising from a change in the estimate of the transaction price were not material for all periods presented. Subsequent changes that are determined to be the result of an adverse change in the patient’s or third-party payor’s ability to pay are recorded as bad debt expense.</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Services are occasionally provided to patients with a reduced ability to pay for their care. Therefore, the Company has determined it has provided implicit price concessions to patients who may be in need of financial assistance. The implicit price concessions included in estimating the transaction price represent the difference between amounts billed to patients and the amounts the Company expects to collect based on its collection history with those patients. Patients who meet the Company’s criteria for discounted pricing are provided care at amounts less than established rates. Such amounts determined to be financial assistance are not reported as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 Costs, Excluding Depreciation and Amortization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Center costs, excluding depreciation and amortization includes the costs the Company incurs to operate its centers, consisting primarily of salaries, wages and employee benefits for clinicians and patient support, occupancy costs such as rent and utilities, medical supplies, insurance and other operating expenses. Center costs, excluding depreciation and amortization excludes stock-based compensation.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cash and highly liquid investments with original maturities of three months or less at the time of purchase. Cash and cash equivalents consist of demand deposits held with financial institutions and investments in money market funds. Cash and cash equivalents are stated at cost, which approximates fair value. The Company maintains cash balances at financial institutions which are insured by the Federal Deposit Insurance Corporation. At times, the amounts on deposit may exceed the insured limit.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Patient Accounts Receivable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Patient accounts receivable are carried at the original charge for the services provided adjusted for explicit and implicit price concessions, including allowances for contractual adjustments. Management regularly reviews data about the major payor sources of revenue in evaluating the sufficiency of the explicit and implicit price concessions. For receivables associated with services provided to patients who have third-party insurance coverage, the Company analyzes contractually due amounts and provides an allowance for contractual adjustments.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evaluating the collectability of patient receivables, the Company analyzes its past history and identifies trends for each of its major payor sources of revenue to estimate the appropriate allowance for credit losses. Management determines the allowance for credit losses by identifying troubled accounts, by using historical experience applied to an aging of accounts, and by considering a patient’s financial history, credit history, and current economic conditions. Patient accounts receivable are written off as bad debt expense when deemed uncollectible. Recoveries of receivables previously written off are recorded as bad debt recoveries.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4" w:name="page75"/>
    <w:bookmarkEnd w:id="7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grants credit without collateral to its patients, most of whom are insured under third-party payor agreements. Revenue and cash flows from the Medicare program are dependent upon the rates set by, and the promptness of payment from, federally administered programs, and in management’s opinion do not create a significant credit risk to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Assets acquired under capital leases are stated at the present value of future minimum lease payments. Major additions and improvements are capitalized, while replacements, maintenance, and repairs, which do not improve or extend the life of the respective assets, are expensed as incurred. Depreciation of property and equipment is computed primarily using the straight-line method over the following estimated useful lives: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5640" w:type="dxa"/>
            <w:vAlign w:val="bottom"/>
            <w:shd w:val="clear" w:color="auto" w:fill="CFF0FC"/>
          </w:tcPr>
          <w:p>
            <w:pPr>
              <w:ind w:left="3160"/>
              <w:spacing w:after="0"/>
              <w:rPr>
                <w:sz w:val="20"/>
                <w:szCs w:val="20"/>
                <w:color w:val="auto"/>
              </w:rPr>
            </w:pPr>
            <w:r>
              <w:rPr>
                <w:rFonts w:ascii="Times New Roman" w:cs="Times New Roman" w:eastAsia="Times New Roman" w:hAnsi="Times New Roman"/>
                <w:sz w:val="18"/>
                <w:szCs w:val="18"/>
                <w:color w:val="auto"/>
              </w:rPr>
              <w:t>5 - 7 years</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peripherals</w:t>
            </w:r>
          </w:p>
        </w:tc>
        <w:tc>
          <w:tcPr>
            <w:tcW w:w="56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5640" w:type="dxa"/>
            <w:vAlign w:val="bottom"/>
            <w:shd w:val="clear" w:color="auto" w:fill="CFF0FC"/>
          </w:tcPr>
          <w:p>
            <w:pPr>
              <w:ind w:left="3160"/>
              <w:spacing w:after="0"/>
              <w:rPr>
                <w:sz w:val="20"/>
                <w:szCs w:val="20"/>
                <w:color w:val="auto"/>
              </w:rPr>
            </w:pPr>
            <w:r>
              <w:rPr>
                <w:rFonts w:ascii="Times New Roman" w:cs="Times New Roman" w:eastAsia="Times New Roman" w:hAnsi="Times New Roman"/>
                <w:sz w:val="18"/>
                <w:szCs w:val="18"/>
                <w:color w:val="auto"/>
              </w:rPr>
              <w:t>1 - 3 years</w:t>
            </w: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564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acquired under capital leases, and leasehold improvements, are amortized on a straight-line basis over the shorter of the remaining lease term or the estimated useful lives of the assets, generally 5 to 10 years.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When assets are retired or otherwise disposed of, the cost and accumulated depreciation are removed from the accounts, and any resulting gain or loss is reflected in the consolidated statements of operations and comprehensive loss in the period realized.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determines if a contract meets the definition of a lease at inception and evaluates the lease classification at that time. The Company has elected not to recognize on the consolidated balance sheets leases with terms of one year or less. Options to extend or terminate the lease are included in the determination of the lease term when it is reasonably certain that the Company will exercise such options. When the implicit rate is unknown, an incremental borrowing rate based on the information available at the commencement date is used in determining the present value of the lease payments.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Lease liabilities represent the obligation to make lease payments and right-of-use assets represent the right to use the underlying asset during the lease term. Lease liabilities and their corresponding right-of-use assets are recognized in the consolidated balance sheets as the commencement date based on the present value of the future minimum lease payments over the estimated lease term. Right-of-use assets are adjusted for payments made at or before the commencement date and tenant incentives under the lease. When a lease contains an escalation clause or a concession, such as a rent holiday or tenant improvement allowance, the Company includes these items in the determination of the right-of-use assets and the lease liabilities. The effects of these escalation clauses or concessions have been reflected in lease expenses on a straight-line basis over the expected lease term and any variable lease payments subsequent to establishing the lease liability are expensed as incurred.</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separately allocates the lease (e.g., fixed lease payments for right-to-use land, building, etc.) and non-lease components (e.g., common area maintenance) for its leases. Operating lease and variable lease costs are included in center costs, excluding depreciation and amortization and general and administrative expenses in the consolidated statements of operations and comprehensive loss. Variable lease costs are the portion of lease payments that are not fixed over the lease term. Variable lease costs include real estate payments that are adjusted periodically for inflation or other variables as well as payments for taxes and insurance. The Company expenses variable lease costs in the period incurred.</w:t>
      </w:r>
    </w:p>
    <w:p>
      <w:pPr>
        <w:spacing w:after="0" w:line="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right-of-use assets, operating lease liabilities, current and operating lease liabilities, noncurrent on the Company’s consolidated balance sheets. Finance leases are included in property and equipment, net, other current liabilities, and other noncurrent liabilities on the Company’s consolidated balance sheets. Finance leases are not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That method requires that the purchase price, including the fair value of contingent consideration, of the acquisition be allocated to the assets acquired and liabilities assumed using the fair values determined by management as of the acquisition date. The consideration the Company transfers in exchange for the acquiree may also include equity interests which the Company records at fair value at closing of the transaction. Transaction costs incurred as a result of the acquisitions are expensed in the Company’s consolidated financial statements in the period incurred.</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excess of the fair value of purchase consideration over the fair values of these identifiable assets and liabilities is recorded as goodwill. When determining the fair values of assets acquired and liabilities assumed, the Company makes significant estimates and assumptions, especially with respect to intangible assets. Critical estimates in valuing intangible assets include, but are not limited to, expected future cash flows, which includes consideration of future growth rates and margins, attrition rates, and discount rates. Fair value estimates are based on the assumptions the Company believes a market participant would use in pricing the asset or liability.</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Management’s estimates of fair value are based upon assumptions determined to be reasonable, but which are inherently uncertain and unpredictable and, as a result, actual results may differ from the estimates. During the measurement period, which is not to exceed one</w:t>
      </w: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5" w:name="page76"/>
    <w:bookmarkEnd w:id="75"/>
    <w:p>
      <w:pPr>
        <w:ind w:right="80"/>
        <w:spacing w:after="0" w:line="256" w:lineRule="auto"/>
        <w:rPr>
          <w:sz w:val="20"/>
          <w:szCs w:val="20"/>
          <w:color w:val="auto"/>
        </w:rPr>
      </w:pPr>
      <w:r>
        <w:rPr>
          <w:rFonts w:ascii="Times New Roman" w:cs="Times New Roman" w:eastAsia="Times New Roman" w:hAnsi="Times New Roman"/>
          <w:sz w:val="18"/>
          <w:szCs w:val="18"/>
          <w:color w:val="auto"/>
        </w:rPr>
        <w:t>year from the acquisition date, the Company may record adjustments to the assets acquired and liabilities assumed, with the corresponding offset to goodwill. The measurement period provides a reasonable period of time to determine the value of identifiable assets acquired, liabilities assumed, consideration transferred, equity interests, and goodwill. New information that gives rise to a measurement period adjustment should relate to events or circumstances existing at the acquisition date. Information pertaining to events that occur after the acquisition date are not measurement period adjustments. All changes that do not qualify as measurement period adjustments are included in current period earnings. The Company includes the results of all acquisitions in the consolidated financial statements from the date of acquisition.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the carrying amount of an asset may not be recoverable. Recoverability of assets to be held and used is measured by a comparison of the carrying amount of an asset group to future undiscounted net cash flows expected to be generated by the asset or asset group. If such assets are considered impaired, the impairment to be recognized is measured by the amount by which the carrying amount of the asset or asset group exceeds the fair value of the asset or asset group. Assets to be disposed of are reported at the lower of carrying amount or fair value less costs to sell. There was no impairment of long-lived assets for the year ended December 31, 2024, an immaterial impairment of long-lived assets for the year ended December 31, 2023, and no impairment of long-lived assets for the year ended December 31,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Intangible assets consist of identifiable intangible assets acquired through business acquisitions. Intangible assets with definite lives are amortized on the straight-line basis over their estimated useful lives or contractual lives, whichever is shorter,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6280" w:type="dxa"/>
            <w:vAlign w:val="bottom"/>
            <w:shd w:val="clear" w:color="auto" w:fill="CFF0FC"/>
          </w:tcPr>
          <w:p>
            <w:pPr>
              <w:ind w:left="2860"/>
              <w:spacing w:after="0"/>
              <w:rPr>
                <w:sz w:val="20"/>
                <w:szCs w:val="20"/>
                <w:color w:val="auto"/>
              </w:rPr>
            </w:pPr>
            <w:r>
              <w:rPr>
                <w:rFonts w:ascii="Times New Roman" w:cs="Times New Roman" w:eastAsia="Times New Roman" w:hAnsi="Times New Roman"/>
                <w:sz w:val="18"/>
                <w:szCs w:val="18"/>
                <w:color w:val="auto"/>
              </w:rPr>
              <w:t>3 to 6 years</w:t>
            </w: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62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4 to 22.5 years</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the excess of the purchase price over the fair value of identifiable net assets acquired as goodwill. The Company performs a qualitative assessment on goodwill at least annually on October 1st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For purposes of goodwill impairment testing, the Company has one reporting unit. There were no goodwill impairments recorded during all periods presented.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Fair value is the price at which an asset could be exchanged or a liability transferred (an exit price) in an orderly transaction between knowledgeable, willing parties in the principal or most advantageous market for the asset or liability. Where available, fair value is based on observable market prices or parameters or derived from such prices or parameters. Where observable prices or inputs are not available, valuation models are applied.</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GAAP establishes a hierarchical disclosure framework which prioritizes and ranks the level of observability of inputs used on measuring fair value. These tiers include:</w:t>
      </w:r>
    </w:p>
    <w:p>
      <w:pPr>
        <w:spacing w:after="0" w:line="54" w:lineRule="exact"/>
        <w:rPr>
          <w:sz w:val="20"/>
          <w:szCs w:val="20"/>
          <w:color w:val="auto"/>
        </w:rPr>
      </w:pPr>
    </w:p>
    <w:p>
      <w:pPr>
        <w:ind w:left="1020" w:right="2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other than quoted prices included in Level 1, which are either directly or indirectly observable for the asset or liability through correlation with market data at the reporting date and for the duration of the instrument’s anticipated life.</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accounts receivable, and accounts payable. The carrying values of the Company’s financial instruments approximate fair value due to their short-term maturities.</w:t>
      </w:r>
    </w:p>
    <w:p>
      <w:pPr>
        <w:spacing w:after="0" w:line="5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obligations to transfer contingent consideration to former owners and sellers of certain entities in conjunction with its acquisitions, if specified future operational objectives and/or financial results are met. The Company records the acquisition date</w:t>
      </w: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p>
      <w:pPr>
        <w:ind w:right="320"/>
        <w:spacing w:after="0" w:line="261" w:lineRule="auto"/>
        <w:rPr>
          <w:sz w:val="20"/>
          <w:szCs w:val="20"/>
          <w:color w:val="auto"/>
        </w:rPr>
      </w:pPr>
      <w:r>
        <w:rPr>
          <w:rFonts w:ascii="Times New Roman" w:cs="Times New Roman" w:eastAsia="Times New Roman" w:hAnsi="Times New Roman"/>
          <w:sz w:val="18"/>
          <w:szCs w:val="18"/>
          <w:color w:val="auto"/>
        </w:rPr>
        <w:t>fair value of these contingent liabilities and measures the fair value on a recurring basis. The Company estimates the fair value of the contingent consideration liability based on the likelihood and timing of the contingent earn-out payments. The fair value is derived using valuation methodologies, such as a discounted cash flow model, and is not based on market exchange, dealer, or broker traded transactions. This valuation incorporates certain assumptions and projections in determining the fair value assigned to such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awards approved by the Board of Directors, including restricted stock awards ("RSAs"), restricted stock units ("RSUs"), and stock options, based on their estimated grant date fair value. The Company estimates the fair value of the RSAs and RSUs based on the fair value of the underlying common stock on their grant date. The Company's stock awards are granted on service-, performance-, and/or market-based vesting conditions.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RSUs are granted to certain employees and other service providers subject to certain service-based or service- and performance-based vesting conditions. The ultimate number of shares that are issued in respect of the performance-based RSUs are based on actual performance over a three or four-year performance period and ranging from zero to 100% of the performance-based RSUs subject to the award. Each fiscal year within the award period represents a separately vesting tranche of the award. For a portion of the performance-based RSUs, as the performance conditions have not been established beyond the first year of the award, a grant date has not yet been established for the remaining annual periods of these performance-based RSUs.</w:t>
      </w:r>
    </w:p>
    <w:p>
      <w:pPr>
        <w:spacing w:after="0" w:line="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related compensation expense for the performance awards is recognized on a straight line basis over the requisite service period for each separately vesting tranche of the award if and when the Company concludes that it is probable that the performance conditions will be achieved. At the end of each reporting period, the Company reevaluates the probability that the performance conditions will be achieved.</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service-based awards are recognized on a straight line basis over the requisite service period, which is generally one to four years. The market-based vesting conditions for awards granted in connection with the Company's IPO provided for the holder to vest one-third of their awards within six months of the IPO, one-third of their awards on the first anniversary of the IPO, one-sixth of their awards eighteen months from the completion of the IPO and the remaining one-sixth of their awards two years from the completion of the IPO.</w:t>
      </w:r>
    </w:p>
    <w:p>
      <w:pPr>
        <w:spacing w:after="0" w:line="72"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The Company granted stock options to certain employees, which generally vest as one-third (1/3) of the underlying shares based on continued service over four years, with 25% of the time-based option shares vesting each year, and as to two-thirds (2/3) of the underlying shares subject to market-based vesting conditions over four years, with 25% of the market-based option shares vesting each year subject to attainment of specified performance thresholds.</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Options generally expire ten years from the date of grant. The exercise price for each stock option award is equal to the closing price of a share of the Company's common stock on the grant date of the award.</w:t>
      </w:r>
    </w:p>
    <w:p>
      <w:pPr>
        <w:spacing w:after="0" w:line="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stock option awards issued with only time-based vesting conditions, the fair value is estimated on the date of grant using a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stock option awards issued with time- and market-based vesting conditions, the grant date fair value is determined through the use of a Monte Carlo simulation that incorporates into the valuation the possibility that the market condition may not be satisfied. A Monte Carlo simulation requires the use of various assumptions, including the underlying stock price, volatility and the risk-free interest rate as of the valuation date, corresponding to the length of the time remaining in the performance period, and expected dividend yield. The expected term represents the derived service period for the respective tranches, which is the longer of the specified service period or the period in which the market conditions are expected to be met.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account for forfeitures as they occur.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taxes in both the United States and various state jurisdictions. The Company accounts for income taxes using the asset and liability method, which requires the recognition of deferred tax assets and liabilities for the expected future tax consequences of events that have been recognized in the consolidated financial statements or tax returns. Deferred tax assets and liabilities are measured using the enacted tax rates that are expected to be in effect when book/tax differences are expected to reverse. The effect on deferred tax assets and liabilities of a change in tax rate is recognized in operations in the period that includes the enactment date.</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records a valuation allowance on deferred tax assets when it is determined that some portion or all of the deferred tax assets will not be realized. In assessing the need for a valuation allowance, management evaluates all significant available positive and negative evidence, including historical operating results, estimates of future taxable income and the existence of prudent and feasible tax planning strategies. Changes in the expectations regarding the realization of deferred tax assets could materially impact income tax expense in future periods.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7" w:name="page78"/>
    <w:bookmarkEnd w:id="77"/>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and measures uncertain tax positions using a two-step approach. The first step is to evaluate the tax position taken or expected to be taken by determining if the weight of available evidence indicates that it is more-likely-than-not that the tax position will be sustained in an audit, including resolution of any related appeals or litigation processes. The second step is to measure the tax benefit as the largest amount that is more than 50% likely to be realized upon ultimate settlement. Significant judgment is required to evaluate uncertain tax positions. The Company evaluates its uncertain tax positions on a regular basis. Its evaluations are based on a number of factors, including changes in facts and circumstances, changes in tax law, correspondence with tax authorities during the course of audit and effective settlement of audit issues. The Company’s policy is to include interest and penalties related to unrecognized tax benefits as a component of interest expense in the consolidated statements of operations and comprehensive loss.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Marketing Costs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Advertising and marketing costs include all communications and campaigns to the Company’s clients and target audience. Advertising costs are charged to expense as they are incurred in general and administrative expenses within the Company’s consolidated statements of operations and comprehensive loss. Advertising expense for the years ended December 31, 2024, 2023 and 2022, were $12,567, $9,399 and $8,632,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Issue Costs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term loans, debt discount and debt issue costs are presented net within total long-term debt and amortized using the effective interest rate method over the term of the loan. For revolving loans and delayed draw term loan commitments, the Company presents the debt issue costs as an asset and amortizes the costs on a straight-line basis over the term of the revolving loan and delayed draw term loan commitment, respectively. Amortization of discount and debt issue costs, which includes loss on debt extinguishment, is recorded as interest expense in the consolidated statements of operations and comprehensive loss and amounted to $6,698, $2,101 and $3,720 for the years ended December 31, 2024, 2023 and 2022,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Comprehensive loss consists of net loss and unrealized gains or losses on interest rate swaps. Unrealized gains or losses on interest rate swaps are net of any reclassification adjustments for realized gains and losses included in the consolidated statements of operations and comprehensive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Net loss per share is computed in conformity with the two-class method required for participating securities. Basic net loss per share is computed by dividing the net loss by the weighted-average number of common shares of the Company outstanding during the period. Diluted net loss per share is computed by giving effect to all potential shares of common shares, including potential dilutive common shares assuming the dilutive effect of common share equivalents, to the extent dilutive.</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shares of common shares outstanding would have been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maintains a profit sharing and retirement savings 401(k) plan (the “401(k) Plan”) for full-time employees. Participants may elect to contribute to the 401(k) Plan, through payroll deductions, subject to Internal Revenue Service limitations. The Company 401(k) Plan provides for a 401(k) matching program under which the Company will match 100% of the employees’ contribution up to 3% of the employees’ compensation, plus 50% of salary deferrals between 3% and 5% of employees’ compensation. The matching contribution is subject to certain eligibility and vesting conditions. The Company recorded expense of $21,591, $18,846 and $15,746 for the years ended December 31, 2024, 2023 and 2022, respectively, for discretionary matching and profit-sharing contributions to the 401(k)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patients against liabilities if there is a breach of a patient’s data or if the Company’s service infringes on a third party’s intellectual property rights. To date, the Company has not incurred any material costs as a result of such indemnifications.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Professional Liability Insurance</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maintains a professional liability insurance policy with a third-party insurer on a claims-made basis. The reserve for professional liability includes a claims-made basis of reported losses and amounts for incurred but not reported losses utilizing actuarial studies of historical and industry data (see Note 13).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Risk and Significant Customers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concentrations of credit risk consist primarily of cash and cash equivalents and patient accounts receivable. Although the Company deposits its cash with multiple financial institutions in the U.S., its deposits, at times, may exceed federally insured limits. The Company does not have any individual customer that exceeded 10% of the Company’s patient accounts receivable balance at December 31, 2024 and 2023. Two payors individually exceeded 10% of the Company’s patients accounts receivable balance at December 31, 2024 and 2023. These payors comprise 19% and 15% of the patient accounts receivable balance, respectively, as of December 31, 2024, and 17% and 15%, respectively, as of December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improves reportable segment disclosure requirements, primarily through enhanced disclosures about significant segment expenses on an interim and annual basis. The Company adopted ASU 2023-07 on January 1, 2024 on a retrospective basis for all periods presented. The adoption of the amendments in ASU 2023-07 impacted the Company's disclosures in the notes to the consolidated financial statements and did not have a material impact on its consolidated balance sheets, results of operations or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improves the transparency of income tax disclosures by requiring (1) consistent categories and greater disaggregation of information in the rate reconciliation and (2) income taxes paid disaggregated by jurisdiction. ASU 2023-09 is effective for public business entities for annual periods beginning after December 15, 2024. Early adoption is permitted. ASU 2023-09 will apply on a prospective basis and retrospective application is permitted. The Company is in process of evaluating the impact of adoption of ASU 2023-09 on the Company's consolidated financial statements and disclosures.</w:t>
      </w:r>
    </w:p>
    <w:p>
      <w:pPr>
        <w:spacing w:after="0" w:line="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ASU 2024-03 requires disclosure of additional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expense categories in the notes to the financial statements. ASU 2024-03 is effective for public business entities for annual reporting periods beginning after December 15, 2026, and interim reporting periods within those fiscal years. Early adoption is permitted and should be applied either prospectively to financial statements issued for reporting periods after the effective date of ASU 2024-03 or retrospectively to any or all periods presented in the financial statements. The Company is in the process of evaluating the impact of the adoption of ASU 2024-03 on the Company's consolidated financial statements and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TOTAL REVENUE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total revenue is dependent on a series of contracts with third-party payors, which is typical for providers in the healthcare industry. The Company has determined that the nature, amount, timing and uncertainty of revenue and cash flows are affected by the payor mix with third-party payors which have different reimbursement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payor mix of fee-for-service revenue from patients and third-party payors consists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1,137,919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960,128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776,343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Self-pay</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91"/>
        </w:trPr>
        <w:tc>
          <w:tcPr>
            <w:tcW w:w="2860" w:type="dxa"/>
            <w:vAlign w:val="bottom"/>
            <w:tcBorders>
              <w:top w:val="single" w:sz="8" w:color="CFF0FC"/>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Total patient service</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8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1,239,684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849,783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198"/>
        </w:trPr>
        <w:tc>
          <w:tcPr>
            <w:tcW w:w="28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Nonpatient service</w:t>
            </w:r>
          </w:p>
        </w:tc>
        <w:tc>
          <w:tcPr>
            <w:tcW w:w="1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1"/>
        </w:trPr>
        <w:tc>
          <w:tcPr>
            <w:tcW w:w="2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1,250,970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1,055,665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859,542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F-15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-1490980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-1490980</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-1490980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-1490980</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-1490980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-1490980</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-942340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-942340</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-942340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-942340</wp:posOffset>
            </wp:positionV>
            <wp:extent cx="137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-942340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-942340</wp:posOffset>
            </wp:positionV>
            <wp:extent cx="137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Among the commercial payors, the table below represents insurance companies that individually represented 10% or more of revenue: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8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Payor A</w:t>
            </w:r>
          </w:p>
        </w:tc>
        <w:tc>
          <w:tcPr>
            <w:tcW w:w="210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Payor B</w:t>
            </w:r>
          </w:p>
        </w:tc>
        <w:tc>
          <w:tcPr>
            <w:tcW w:w="21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42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7"/>
        </w:trPr>
        <w:tc>
          <w:tcPr>
            <w:tcW w:w="3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84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10"/>
        </w:trPr>
        <w:tc>
          <w:tcPr>
            <w:tcW w:w="4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173,840</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170,212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Computers and peripherals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7,197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258,405</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256,906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(92,364 )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(68,684 )</w:t>
            </w:r>
          </w:p>
        </w:tc>
      </w:tr>
      <w:tr>
        <w:trPr>
          <w:trHeight w:val="249"/>
        </w:trPr>
        <w:tc>
          <w:tcPr>
            <w:tcW w:w="43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2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166,041</w:t>
            </w:r>
          </w:p>
        </w:tc>
        <w:tc>
          <w:tcPr>
            <w:tcW w:w="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188,222</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31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consists of the following:</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3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40,677</w:t>
            </w:r>
          </w:p>
        </w:tc>
        <w:tc>
          <w:tcPr>
            <w:tcW w:w="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37,372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28,918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-1996440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-1996440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-736600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-719455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-719455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leases its office facilities and office equipment which are accounted for as operating leases. Some leases contain clauses for renewal at the Company's option with renewal terms that generally extend the lease term from one to seven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Company's operating leases in its consolidated statements of operations and comprehensive loss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10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55,070</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56,677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54,217</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costs and short-term lease costs were not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lease term and discount rate for operating lease liabilities included in the consolidated balance sheets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7.50 %</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7.11 %</w:t>
            </w:r>
          </w:p>
        </w:tc>
      </w:tr>
      <w:tr>
        <w:trPr>
          <w:trHeight w:val="30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6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6220" w:type="dxa"/>
            <w:vAlign w:val="bottom"/>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7"/>
        </w:trPr>
        <w:tc>
          <w:tcPr>
            <w:tcW w:w="622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w:t>
            </w:r>
          </w:p>
        </w:tc>
        <w:tc>
          <w:tcPr>
            <w:tcW w:w="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8"/>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64,851</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63,363</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53,371</w:t>
            </w:r>
          </w:p>
        </w:tc>
        <w:tc>
          <w:tcPr>
            <w:tcW w:w="120" w:type="dxa"/>
            <w:vAlign w:val="bottom"/>
          </w:tcPr>
          <w:p>
            <w:pPr>
              <w:spacing w:after="0"/>
              <w:rPr>
                <w:sz w:val="18"/>
                <w:szCs w:val="18"/>
                <w:color w:val="auto"/>
              </w:rPr>
            </w:pPr>
          </w:p>
        </w:tc>
      </w:tr>
      <w:tr>
        <w:trPr>
          <w:trHeight w:val="216"/>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Noncash lease activity</w:t>
            </w: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62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Right-of-use lease assets obtained in exchange for new</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17,018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16,020</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47,837</w:t>
            </w:r>
          </w:p>
        </w:tc>
        <w:tc>
          <w:tcPr>
            <w:tcW w:w="120" w:type="dxa"/>
            <w:vAlign w:val="bottom"/>
          </w:tcPr>
          <w:p>
            <w:pPr>
              <w:spacing w:after="0"/>
              <w:rPr>
                <w:sz w:val="20"/>
                <w:szCs w:val="20"/>
                <w:color w:val="auto"/>
              </w:rPr>
            </w:pPr>
          </w:p>
        </w:tc>
      </w:tr>
      <w:tr>
        <w:trPr>
          <w:trHeight w:val="432"/>
        </w:trPr>
        <w:tc>
          <w:tcPr>
            <w:tcW w:w="62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F-16</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6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The future minimum lease payments under noncancellable operating leases as of December 31, 2024 are as follows:</w:t>
            </w:r>
          </w:p>
        </w:tc>
        <w:tc>
          <w:tcPr>
            <w:tcW w:w="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Pr>
          <w:p>
            <w:pPr>
              <w:spacing w:after="0"/>
              <w:rPr>
                <w:sz w:val="24"/>
                <w:szCs w:val="24"/>
                <w:color w:val="auto"/>
              </w:rPr>
            </w:pP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62,365</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59,569</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45,892</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32,905</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0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06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231,787</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0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(33,639 )</w:t>
            </w:r>
          </w:p>
        </w:tc>
      </w:tr>
      <w:tr>
        <w:trPr>
          <w:trHeight w:val="249"/>
        </w:trPr>
        <w:tc>
          <w:tcPr>
            <w:tcW w:w="8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06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198,148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Optimization and Restructuring Charges</w:t>
      </w:r>
    </w:p>
    <w:p>
      <w:pPr>
        <w:spacing w:after="0" w:line="121"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 xml:space="preserve">In 2023, the Company announced a strategic re-focus, to prioritize resources and close certain centers as a direct result of changes to the Company's business model driven by a shift to more virtual visits initiated by the COVID-19 pandemic. During the year ended December 31, 2023, the Company substantially completed a significant reduction in physical space and exited several underoccupied offices by both negotiating terminations of and abandoning certain real estate leases. The Company accounts for real estate optimization restructuring charges in accordance with ASC 420,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Disposal Cost Obligations </w:t>
      </w:r>
      <w:r>
        <w:rPr>
          <w:rFonts w:ascii="Times New Roman" w:cs="Times New Roman" w:eastAsia="Times New Roman" w:hAnsi="Times New Roman"/>
          <w:sz w:val="18"/>
          <w:szCs w:val="18"/>
          <w:color w:val="auto"/>
        </w:rPr>
        <w:t>and ASC 360-10,</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The costs are included in general and administrative expenses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and comprehensive loss.</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$10,970 of office space reductions, including primarily of $4,734 of right-of-use asset impairment, $4,618 of property and equipment disposal and impairment costs, and $2,419 of gains related to early lease terminations. The portion of these amounts to be settled by cash disbursements was accounted for as an exit cost liability within other current liabilities and other noncurrent liabilities within the consolidated balance sheets and are not material as of December 31, 2024 and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carrying amount of goodwill:</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1,272,939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Business acquisitions (Note 7)</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09"/>
        </w:trPr>
        <w:tc>
          <w:tcPr>
            <w:tcW w:w="20" w:type="dxa"/>
            <w:vAlign w:val="bottom"/>
            <w:tcBorders>
              <w:top w:val="single" w:sz="8" w:color="CFF0FC"/>
            </w:tcBorders>
          </w:tcPr>
          <w:p>
            <w:pPr>
              <w:spacing w:after="0"/>
              <w:rPr>
                <w:sz w:val="18"/>
                <w:szCs w:val="18"/>
                <w:color w:val="auto"/>
              </w:rPr>
            </w:pPr>
          </w:p>
        </w:tc>
        <w:tc>
          <w:tcPr>
            <w:tcW w:w="48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0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1,293,346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Business acquisitions</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1,293,346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24"/>
                <w:szCs w:val="24"/>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1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Average Useful</w:t>
            </w:r>
          </w:p>
        </w:tc>
        <w:tc>
          <w:tcPr>
            <w:tcW w:w="0" w:type="dxa"/>
            <w:vAlign w:val="bottom"/>
          </w:tcPr>
          <w:p>
            <w:pPr>
              <w:spacing w:after="0"/>
              <w:rPr>
                <w:sz w:val="1"/>
                <w:szCs w:val="1"/>
                <w:color w:val="auto"/>
              </w:rPr>
            </w:pPr>
          </w:p>
        </w:tc>
      </w:tr>
      <w:tr>
        <w:trPr>
          <w:trHeight w:val="211"/>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18"/>
                <w:szCs w:val="18"/>
                <w:color w:val="auto"/>
              </w:rPr>
            </w:pPr>
          </w:p>
        </w:tc>
        <w:tc>
          <w:tcPr>
            <w:tcW w:w="1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Regional trade names</w:t>
            </w:r>
          </w:p>
        </w:tc>
        <w:tc>
          <w:tcPr>
            <w:tcW w:w="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36,694</w:t>
            </w:r>
          </w:p>
        </w:tc>
        <w:tc>
          <w:tcPr>
            <w:tcW w:w="4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(35,039 )</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1,655</w:t>
            </w:r>
          </w:p>
        </w:tc>
        <w:tc>
          <w:tcPr>
            <w:tcW w:w="16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LifeStance trade names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(48,490 )</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187,010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(92,401 )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366,729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(175,930 )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190,799</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24"/>
                <w:szCs w:val="24"/>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1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Average Useful</w:t>
            </w:r>
          </w:p>
        </w:tc>
        <w:tc>
          <w:tcPr>
            <w:tcW w:w="0" w:type="dxa"/>
            <w:vAlign w:val="bottom"/>
          </w:tcPr>
          <w:p>
            <w:pPr>
              <w:spacing w:after="0"/>
              <w:rPr>
                <w:sz w:val="1"/>
                <w:szCs w:val="1"/>
                <w:color w:val="auto"/>
              </w:rPr>
            </w:pPr>
          </w:p>
        </w:tc>
      </w:tr>
      <w:tr>
        <w:trPr>
          <w:trHeight w:val="211"/>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18"/>
                <w:szCs w:val="18"/>
                <w:color w:val="auto"/>
              </w:rPr>
            </w:pPr>
          </w:p>
        </w:tc>
        <w:tc>
          <w:tcPr>
            <w:tcW w:w="1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Regional trade names</w:t>
            </w:r>
          </w:p>
        </w:tc>
        <w:tc>
          <w:tcPr>
            <w:tcW w:w="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36,694</w:t>
            </w:r>
          </w:p>
        </w:tc>
        <w:tc>
          <w:tcPr>
            <w:tcW w:w="4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(26,399 )</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10,295</w:t>
            </w:r>
          </w:p>
        </w:tc>
        <w:tc>
          <w:tcPr>
            <w:tcW w:w="16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LifeStance trade names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(38,024 )</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197,476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(81,234 )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366,729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(145,657 )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221,072</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F-17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-3874135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-2082165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-2082165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-2082165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-942340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-942340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-942340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1" w:name="page82"/>
    <w:bookmarkEnd w:id="81"/>
    <w:p>
      <w:pPr>
        <w:ind w:right="380"/>
        <w:spacing w:after="0" w:line="282" w:lineRule="auto"/>
        <w:rPr>
          <w:sz w:val="20"/>
          <w:szCs w:val="20"/>
          <w:color w:val="auto"/>
        </w:rPr>
      </w:pPr>
      <w:r>
        <w:rPr>
          <w:rFonts w:ascii="Times New Roman" w:cs="Times New Roman" w:eastAsia="Times New Roman" w:hAnsi="Times New Roman"/>
          <w:sz w:val="18"/>
          <w:szCs w:val="18"/>
          <w:color w:val="auto"/>
        </w:rPr>
        <w:t>Gross carrying amount is based on the fair value of the intangible assets determined at the acquisition date. Total intangible asset amortization expense consists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10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43,065</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40,280</w:t>
            </w:r>
          </w:p>
        </w:tc>
        <w:tc>
          <w:tcPr>
            <w:tcW w:w="100" w:type="dxa"/>
            <w:vAlign w:val="bottom"/>
            <w:shd w:val="clear" w:color="auto" w:fill="CFF0FC"/>
          </w:tcPr>
          <w:p>
            <w:pPr>
              <w:spacing w:after="0"/>
              <w:rPr>
                <w:sz w:val="18"/>
                <w:szCs w:val="18"/>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amortization of intangible assets as of December 31, 2024 is as follows: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gridSpan w:val="2"/>
          </w:tcPr>
          <w:p>
            <w:pPr>
              <w:spacing w:after="0"/>
              <w:rPr>
                <w:sz w:val="24"/>
                <w:szCs w:val="24"/>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190,799</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COMBINATIONS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completed the acquisitions of 3 outpatient mental health practices. There were no completed acquisitions during the year ended December 31, 2024. The Company accounted for the acquisitions as business combinations using the acquisition method of accounting. The purchase price was allocated to the tangible and intangible assets acquired and liabilities assumed based on their estimated fair values as of the respective acquisition dates.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transferred for these acquisitions consisted of the following:</w:t>
            </w: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2"/>
        </w:trPr>
        <w:tc>
          <w:tcPr>
            <w:tcW w:w="8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8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at initial fair value</w:t>
            </w: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bottom w:val="single" w:sz="8" w:color="CFF0FC"/>
            </w:tcBorders>
          </w:tcPr>
          <w:p>
            <w:pPr>
              <w:spacing w:after="0"/>
              <w:rPr>
                <w:sz w:val="18"/>
                <w:szCs w:val="18"/>
                <w:color w:val="auto"/>
              </w:rPr>
            </w:pPr>
          </w:p>
        </w:tc>
      </w:tr>
      <w:tr>
        <w:trPr>
          <w:trHeight w:val="250"/>
        </w:trPr>
        <w:tc>
          <w:tcPr>
            <w:tcW w:w="8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consideration transferred</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results of the acquired businesses have been included in the Company’s consolidated financial statements beginning as of their acquisition dates. It is impracticable to provide historical supplemental pro forma financial information along with revenue and earnings subsequent to the acquisition dates for acquisitions during the period due to a variety of factors, including access to historical information and the operations of acquirees being integrated within the Company shortly after closing and not operating as discrete entities within the Company’s organizational structure.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Acquired and Liabilities Assumed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dates of acquisition: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340" w:type="dxa"/>
            <w:vAlign w:val="bottom"/>
          </w:tcPr>
          <w:p>
            <w:pPr>
              <w:spacing w:after="0"/>
              <w:rPr>
                <w:sz w:val="20"/>
                <w:szCs w:val="20"/>
                <w:color w:val="auto"/>
              </w:rPr>
            </w:pP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Patient accounts receivable</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00" w:type="dxa"/>
            <w:vAlign w:val="bottom"/>
          </w:tcPr>
          <w:p>
            <w:pPr>
              <w:spacing w:after="0"/>
              <w:rPr>
                <w:sz w:val="18"/>
                <w:szCs w:val="18"/>
                <w:color w:val="auto"/>
              </w:rPr>
            </w:pPr>
          </w:p>
        </w:tc>
      </w:tr>
      <w:tr>
        <w:trPr>
          <w:trHeight w:val="210"/>
        </w:trPr>
        <w:tc>
          <w:tcPr>
            <w:tcW w:w="8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4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8"/>
                <w:szCs w:val="18"/>
                <w:color w:val="auto"/>
              </w:rPr>
            </w:pPr>
          </w:p>
        </w:tc>
      </w:tr>
      <w:tr>
        <w:trPr>
          <w:trHeight w:val="249"/>
        </w:trPr>
        <w:tc>
          <w:tcPr>
            <w:tcW w:w="8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 of net assets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majority of the tangible assets acquired and liabilities assumed were recorded at their carrying values as of the respective dates of acquisition, as their carrying values approximated their fair values due to their short-term nature. The fair values of goodwill and other intangible assets acquired in these acquisitions were estimated primarily based on the income approach. The income approach estimates fair value based on the present value of the cash flows that the assets are expected to generate in the future. The Company developed estimates for the expected future cash flows and discount rates used in the present value calculations.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acquired intangible assets as of the dates of acquisition:</w:t>
            </w: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2"/>
        </w:trPr>
        <w:tc>
          <w:tcPr>
            <w:tcW w:w="13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138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8520" w:type="dxa"/>
            <w:vAlign w:val="bottom"/>
            <w:gridSpan w:val="2"/>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Regional trade names </w:t>
            </w:r>
            <w:r>
              <w:rPr>
                <w:rFonts w:ascii="Times New Roman" w:cs="Times New Roman" w:eastAsia="Times New Roman" w:hAnsi="Times New Roman"/>
                <w:sz w:val="24"/>
                <w:szCs w:val="24"/>
                <w:color w:val="auto"/>
                <w:vertAlign w:val="superscript"/>
              </w:rPr>
              <w:t>(1)</w:t>
            </w: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Non-competition agreements </w:t>
            </w:r>
            <w:r>
              <w:rPr>
                <w:rFonts w:ascii="Times New Roman" w:cs="Times New Roman" w:eastAsia="Times New Roman" w:hAnsi="Times New Roman"/>
                <w:sz w:val="24"/>
                <w:szCs w:val="24"/>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r>
      <w:tr>
        <w:trPr>
          <w:trHeight w:val="249"/>
        </w:trPr>
        <w:tc>
          <w:tcPr>
            <w:tcW w:w="1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86"/>
        </w:trPr>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Useful lives for regional trade names are 5 years.</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Useful lives for non-competition agreements are 5 years.</w:t>
            </w: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Under the provisions of the acquisition agreements, the Company may pay additional cash consideration in the form of earnouts, contingent upon the acquirees achieving certain performance and operational targets (see Note 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maximum contingent consideration based on the acquisition agreements:</w:t>
            </w: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2"/>
        </w:trPr>
        <w:tc>
          <w:tcPr>
            <w:tcW w:w="8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360" w:type="dxa"/>
            <w:vAlign w:val="bottom"/>
          </w:tcPr>
          <w:p>
            <w:pPr>
              <w:spacing w:after="0"/>
              <w:rPr>
                <w:sz w:val="20"/>
                <w:szCs w:val="20"/>
                <w:color w:val="auto"/>
              </w:rPr>
            </w:pPr>
          </w:p>
        </w:tc>
        <w:tc>
          <w:tcPr>
            <w:tcW w:w="2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Maximum contingent consideration based on acquisition agreements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FF0FC"/>
          </w:tcPr>
          <w:p>
            <w:pPr>
              <w:spacing w:after="0"/>
              <w:rPr>
                <w:sz w:val="18"/>
                <w:szCs w:val="18"/>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Goodwill is primarily attributable to the assembled workforce, customer and payor relationships and anticipated synergies and economies of scale expected from the integration of the businesses. The synergies include certain cost savings, operating efficiencies, and other strategic benefits projected to be achieved as a result of the acquisition. All goodwill is deductible for tax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PREPAID EXPENSES AND OTHER CURRENT ASSETS AND OTHER ACCRUED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bonuses and advances</w:t>
            </w:r>
          </w:p>
        </w:tc>
        <w:tc>
          <w:tcPr>
            <w:tcW w:w="1580" w:type="dxa"/>
            <w:vAlign w:val="bottom"/>
            <w:gridSpan w:val="2"/>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11,011</w:t>
            </w:r>
          </w:p>
        </w:tc>
        <w:tc>
          <w:tcPr>
            <w:tcW w:w="98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14,903</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26,137</w:t>
            </w:r>
          </w:p>
        </w:tc>
        <w:tc>
          <w:tcPr>
            <w:tcW w:w="9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accrued expenses consist of the following:</w:t>
            </w:r>
          </w:p>
        </w:tc>
        <w:tc>
          <w:tcPr>
            <w:tcW w:w="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Patient credits payable</w:t>
            </w:r>
          </w:p>
        </w:tc>
        <w:tc>
          <w:tcPr>
            <w:tcW w:w="158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18,433</w:t>
            </w:r>
          </w:p>
        </w:tc>
        <w:tc>
          <w:tcPr>
            <w:tcW w:w="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for goods/services received, not invoiced</w:t>
            </w: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w:t>
            </w: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bottom w:val="single" w:sz="8" w:color="auto"/>
            </w:tcBorders>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46,942</w:t>
            </w: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-1473835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measures its contingent consideration liability at fair value on a recurring basis using Level 3 inputs. The Company estimates the fair value of the contingent consideration liability based on the likelihood and timing of the contingent earn-out payments. This valuation incorporates certain assumptions and projections in determining the fair value assigned to such liability. The following is a summary of the significant assumptions used for the fair value measurement of the contingent consideration liability as of December 31,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56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Range of Significant Assumptions</w:t>
            </w:r>
          </w:p>
        </w:tc>
      </w:tr>
      <w:tr>
        <w:trPr>
          <w:trHeight w:val="209"/>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Probability-weighted analysis</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Probability</w:t>
            </w:r>
          </w:p>
        </w:tc>
        <w:tc>
          <w:tcPr>
            <w:tcW w:w="50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0% - 100%</w:t>
            </w:r>
          </w:p>
        </w:tc>
      </w:tr>
      <w:tr>
        <w:trPr>
          <w:trHeight w:val="216"/>
        </w:trPr>
        <w:tc>
          <w:tcPr>
            <w:tcW w:w="4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based earn-outs</w:t>
            </w:r>
          </w:p>
        </w:tc>
        <w:tc>
          <w:tcPr>
            <w:tcW w:w="26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502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9.7%</w:t>
            </w:r>
          </w:p>
        </w:tc>
      </w:tr>
      <w:tr>
        <w:trPr>
          <w:trHeight w:val="432"/>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F-19</w:t>
            </w:r>
          </w:p>
        </w:tc>
        <w:tc>
          <w:tcPr>
            <w:tcW w:w="2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3" w:name="page84"/>
    <w:bookmarkEnd w:id="83"/>
    <w:p>
      <w:pPr>
        <w:ind w:right="640"/>
        <w:spacing w:after="0" w:line="375" w:lineRule="auto"/>
        <w:rPr>
          <w:sz w:val="20"/>
          <w:szCs w:val="20"/>
          <w:color w:val="auto"/>
        </w:rPr>
      </w:pPr>
      <w:r>
        <w:rPr>
          <w:rFonts w:ascii="Times New Roman" w:cs="Times New Roman" w:eastAsia="Times New Roman" w:hAnsi="Times New Roman"/>
          <w:sz w:val="18"/>
          <w:szCs w:val="18"/>
          <w:color w:val="auto"/>
        </w:rPr>
        <w:t xml:space="preserve">As of December 31, 2023, the Company adjusted the fair value of the contingent consideration liability due to remeasurement at the reporting date. </w:t>
      </w:r>
      <w:r>
        <w:rPr>
          <w:rFonts w:ascii="Times New Roman" w:cs="Times New Roman" w:eastAsia="Times New Roman" w:hAnsi="Times New Roman"/>
          <w:sz w:val="18"/>
          <w:szCs w:val="18"/>
          <w:i w:val="1"/>
          <w:iCs w:val="1"/>
          <w:color w:val="auto"/>
        </w:rPr>
        <w:t>Hedging Activities</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uses derivative financial instruments, including an interest rate swap, for hedging and non-trading purposes to manage its exposure to changes in interest rates. The Company entered into a hedge transaction (interest rate swap) using a derivative financial instrument for the purpose of hedging the Company’s exposure to interest rate risks, which the contractual terms of the hedged instrument closely mirror those of the hedged item, providing a high degree of risk reduction and correlation. The objective of entering into the interest rate swap is to eliminate the variability of cash flows in the Secured Overnight Financing Rate ("SOFR") interest payments associated with the variable-rate loan over the life of the loan. In August 2022, the Company entered into an interest rate swap agreement to pay a fixed rate of 3.24% on a total notional value of $189,000 of debt. As a result of the interest rate swap, 94.5% of the term loan previously exposed to interest rate risk from changes in SOFR is now hedged against the interest rate swap at a fixed rate. The interest rate swap matures on September 30, 2025. As of December 31, 2024, the notional value was $184,748. As changes in interest rates impact the future cash flow of interest payments, the hedge provides a synthetic offset to interest rate movements.</w:t>
      </w:r>
    </w:p>
    <w:p>
      <w:pPr>
        <w:spacing w:after="0" w:line="8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used the income approach to value the derivative for the interest rate swap using observable market data for all significant inputs and standard valuation techniques to convert future amounts to a single present value amount, assuming that participants are motivated but not compelled to transact. This derivative instrument (interest rate swap) is designated and qualifies as a cash flow hedge, with the entire gain or loss on the derivative reported as a component of other comprehensive income. Amounts recorded in accumulated other comprehensive income are released to earnings in the same period that the hedged transaction impacts consolidated earnings within interest expense. The cash flows from the derivative treated as a cash flow hedge are classified in the Company’s consolidated statements of cash flows in the same category as the item being hedged.</w:t>
      </w:r>
    </w:p>
    <w:p>
      <w:pPr>
        <w:spacing w:after="0" w:line="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included immaterial gains on the hedged instrument (variable-rate borrowings) in the same line item (interest expense, net) as the offsetting gain on the related interest rate swap in the consolidated statements of operations and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location of the interest rate swap in the 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512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b w:val="1"/>
                <w:bCs w:val="1"/>
                <w:color w:val="auto"/>
              </w:rPr>
              <w:t>Consolidated balance sheets location</w:t>
            </w: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CFF0FC"/>
            </w:tcBorders>
          </w:tcPr>
          <w:p>
            <w:pPr>
              <w:spacing w:after="0"/>
              <w:rPr>
                <w:sz w:val="18"/>
                <w:szCs w:val="18"/>
                <w:color w:val="auto"/>
              </w:rPr>
            </w:pPr>
          </w:p>
        </w:tc>
        <w:tc>
          <w:tcPr>
            <w:tcW w:w="5120" w:type="dxa"/>
            <w:vAlign w:val="bottom"/>
            <w:tcBorders>
              <w:bottom w:val="single" w:sz="8" w:color="CFF0FC"/>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51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5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-294005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-294005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5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amount of estimated cash flow hedge unrealized gains and losses that are expected to be reclassified to earnings in the next twelve months is not material.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Measured on a Recurring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 Measured at Fair Value</w:t>
            </w:r>
          </w:p>
        </w:tc>
        <w:tc>
          <w:tcPr>
            <w:tcW w:w="2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360" w:type="dxa"/>
            <w:vAlign w:val="bottom"/>
          </w:tcPr>
          <w:p>
            <w:pPr>
              <w:spacing w:after="0"/>
              <w:rPr>
                <w:sz w:val="18"/>
                <w:szCs w:val="18"/>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119,616</w:t>
            </w:r>
          </w:p>
        </w:tc>
        <w:tc>
          <w:tcPr>
            <w:tcW w:w="32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64,766</w:t>
            </w:r>
          </w:p>
        </w:tc>
        <w:tc>
          <w:tcPr>
            <w:tcW w:w="120" w:type="dxa"/>
            <w:vAlign w:val="bottom"/>
          </w:tcPr>
          <w:p>
            <w:pPr>
              <w:spacing w:after="0"/>
              <w:rPr>
                <w:sz w:val="18"/>
                <w:szCs w:val="18"/>
                <w:color w:val="auto"/>
              </w:rPr>
            </w:pP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72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119,616</w:t>
            </w:r>
          </w:p>
        </w:tc>
        <w:tc>
          <w:tcPr>
            <w:tcW w:w="3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64,766</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asset</w:t>
            </w:r>
          </w:p>
        </w:tc>
        <w:tc>
          <w:tcPr>
            <w:tcW w:w="2360" w:type="dxa"/>
            <w:vAlign w:val="bottom"/>
          </w:tcPr>
          <w:p>
            <w:pPr>
              <w:spacing w:after="0"/>
              <w:rPr>
                <w:sz w:val="18"/>
                <w:szCs w:val="18"/>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32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tcPr>
          <w:p>
            <w:pPr>
              <w:spacing w:after="0"/>
              <w:rPr>
                <w:sz w:val="18"/>
                <w:szCs w:val="18"/>
                <w:color w:val="auto"/>
              </w:rPr>
            </w:pPr>
          </w:p>
        </w:tc>
      </w:tr>
      <w:tr>
        <w:trPr>
          <w:trHeight w:val="210"/>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3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1,272</w:t>
            </w:r>
          </w:p>
        </w:tc>
        <w:tc>
          <w:tcPr>
            <w:tcW w:w="3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37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120,888</w:t>
            </w:r>
          </w:p>
        </w:tc>
        <w:tc>
          <w:tcPr>
            <w:tcW w:w="32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67,697</w:t>
            </w:r>
          </w:p>
        </w:tc>
        <w:tc>
          <w:tcPr>
            <w:tcW w:w="1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240" w:type="dxa"/>
            <w:vAlign w:val="bottom"/>
            <w:shd w:val="clear" w:color="auto" w:fill="CFF0FC"/>
          </w:tcPr>
          <w:p>
            <w:pPr>
              <w:spacing w:after="0"/>
              <w:rPr>
                <w:sz w:val="17"/>
                <w:szCs w:val="17"/>
                <w:color w:val="auto"/>
              </w:rPr>
            </w:pPr>
          </w:p>
        </w:tc>
        <w:tc>
          <w:tcPr>
            <w:tcW w:w="2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Measured at Fair Value</w:t>
            </w: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37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32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17,824</w:t>
            </w: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related to acquisitions</w:t>
            </w:r>
          </w:p>
        </w:tc>
        <w:tc>
          <w:tcPr>
            <w:tcW w:w="2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2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(6,444 )</w:t>
            </w:r>
          </w:p>
        </w:tc>
        <w:tc>
          <w:tcPr>
            <w:tcW w:w="6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(7,668 )</w:t>
            </w:r>
          </w:p>
        </w:tc>
      </w:tr>
      <w:tr>
        <w:trPr>
          <w:trHeight w:val="216"/>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remeasurement</w:t>
            </w:r>
          </w:p>
        </w:tc>
        <w:tc>
          <w:tcPr>
            <w:tcW w:w="2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(1,725 )</w:t>
            </w:r>
          </w:p>
        </w:tc>
        <w:tc>
          <w:tcPr>
            <w:tcW w:w="6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(3,972 )</w:t>
            </w:r>
          </w:p>
        </w:tc>
      </w:tr>
      <w:tr>
        <w:trPr>
          <w:trHeight w:val="210"/>
        </w:trPr>
        <w:tc>
          <w:tcPr>
            <w:tcW w:w="42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236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tcBorders>
              <w:top w:val="single" w:sz="8" w:color="CFF0FC"/>
            </w:tcBorders>
          </w:tcPr>
          <w:p>
            <w:pPr>
              <w:spacing w:after="0"/>
              <w:rPr>
                <w:sz w:val="18"/>
                <w:szCs w:val="18"/>
                <w:color w:val="auto"/>
              </w:rPr>
            </w:pPr>
          </w:p>
        </w:tc>
      </w:tr>
      <w:tr>
        <w:trPr>
          <w:trHeight w:val="209"/>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3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8,169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2360" w:type="dxa"/>
            <w:vAlign w:val="bottom"/>
          </w:tcPr>
          <w:p>
            <w:pPr>
              <w:spacing w:after="0"/>
              <w:rPr>
                <w:sz w:val="18"/>
                <w:szCs w:val="18"/>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8,169</w:t>
            </w:r>
          </w:p>
        </w:tc>
        <w:tc>
          <w:tcPr>
            <w:tcW w:w="1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372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F-20</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-2365375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-1233805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-1233805</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-942340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 10 LONG-TERM DEBT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4, 2022, the Company entered into a credit agreement (as amended, the “2022 Credit Agreement”) among LifeStance Health Holdings, Inc., Lynnwood Intermediate Holdings, Inc., Capital One, National Association, and each lender party thereto. The term loans and delayed draw term loans were payable in quarterly principal and interest payments through May 16, 2028.</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December 19, 2024, the Company entered into a credit agreement (the “2024 Credit Agreement”) among LifeStance Health Holdings, Inc., Lynnwood Intermediate Holdings, Inc., Capital One, National Association, and each lender party thereto. The 2024 Credit Agreement established commitments in respect of a senior secured term loan facility of $290,000 and a senior secured revolving loan facility of up to $100,000. The Company borrowed $290,000 in term loans, payable in quarterly principal and interest payments, with a maturity date of December 19, 2029. The loans under the term loan facility bear interest at a rate per annum equal to (x) term SOFR (which term SOFR is subject to a minimum of 0.00%) plus an applicable margin of 3.00% subject to stepdowns based on leverage-based metrics or (y) an alternate base rate (which will be the highest of (i) the prime rate, (ii) 0.50% above the federal funds effective rate and (iii) one-month term SOFR (which term SOFR is subject to a minimum of 0.00%) plus 1.00%) plus an applicable margin of 2.00% subject to stepdowns based on leverage-based metrics. The term loans are collateralized by substantially all of the assets of the Company. The revolving loan has interest only payments until the maturity date of December 19, 2029.</w:t>
      </w:r>
    </w:p>
    <w:p>
      <w:pPr>
        <w:spacing w:after="0" w:line="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proceeds from the 2024 Credit Agreement term loans were used to repay in full and extinguish the 2022 Credit Agreement. In relation to the 2022 Credit Agreement, the Company recognized an extinguishment of debt charge within interest expense of $5,032 consisting of the write-off of unamortized debt issue costs associated with the extinguished term loans.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2024 Credit Agreement requires the Company to maintain compliance with certain restrictive financial covenants related to earnings, leverage ratios, and other financial metrics. The Company was in compliance with all debt covenants at December 31, 2024 and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6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360" w:type="dxa"/>
            <w:vAlign w:val="bottom"/>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3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Delayed Draw term loans</w:t>
            </w:r>
          </w:p>
        </w:tc>
        <w:tc>
          <w:tcPr>
            <w:tcW w:w="13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13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3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289,494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(7,250 )</w:t>
            </w:r>
          </w:p>
        </w:tc>
        <w:tc>
          <w:tcPr>
            <w:tcW w:w="6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(2,925 )</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Less: Unamortized discount and debt issue costs </w:t>
            </w:r>
            <w:r>
              <w:rPr>
                <w:rFonts w:ascii="Times New Roman" w:cs="Times New Roman" w:eastAsia="Times New Roman" w:hAnsi="Times New Roman"/>
                <w:sz w:val="24"/>
                <w:szCs w:val="24"/>
                <w:color w:val="auto"/>
                <w:vertAlign w:val="superscript"/>
              </w:rPr>
              <w:t>(1)</w:t>
            </w:r>
          </w:p>
        </w:tc>
        <w:tc>
          <w:tcPr>
            <w:tcW w:w="13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(2,960 )</w:t>
            </w:r>
          </w:p>
        </w:tc>
        <w:tc>
          <w:tcPr>
            <w:tcW w:w="6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(6,284 )</w:t>
            </w:r>
          </w:p>
        </w:tc>
        <w:tc>
          <w:tcPr>
            <w:tcW w:w="0" w:type="dxa"/>
            <w:vAlign w:val="bottom"/>
          </w:tcPr>
          <w:p>
            <w:pPr>
              <w:spacing w:after="0"/>
              <w:rPr>
                <w:sz w:val="1"/>
                <w:szCs w:val="1"/>
                <w:color w:val="auto"/>
              </w:rPr>
            </w:pPr>
          </w:p>
        </w:tc>
      </w:tr>
      <w:tr>
        <w:trPr>
          <w:trHeight w:val="187"/>
        </w:trPr>
        <w:tc>
          <w:tcPr>
            <w:tcW w:w="6600" w:type="dxa"/>
            <w:vAlign w:val="bottom"/>
            <w:tcBorders>
              <w:top w:val="single" w:sz="8" w:color="CFF0FC"/>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1360" w:type="dxa"/>
            <w:vAlign w:val="bottom"/>
            <w:tcBorders>
              <w:top w:val="single" w:sz="8" w:color="auto"/>
            </w:tcBorders>
            <w:vMerge w:val="restart"/>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279,790</w:t>
            </w:r>
          </w:p>
        </w:tc>
        <w:tc>
          <w:tcPr>
            <w:tcW w:w="320" w:type="dxa"/>
            <w:vAlign w:val="bottom"/>
            <w:tcBorders>
              <w:top w:val="single" w:sz="8" w:color="CFF0FC"/>
            </w:tcBorders>
          </w:tcPr>
          <w:p>
            <w:pPr>
              <w:spacing w:after="0"/>
              <w:rPr>
                <w:sz w:val="16"/>
                <w:szCs w:val="16"/>
                <w:color w:val="auto"/>
              </w:rPr>
            </w:pPr>
          </w:p>
        </w:tc>
        <w:tc>
          <w:tcPr>
            <w:tcW w:w="62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280,285</w:t>
            </w: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b w:val="1"/>
                <w:bCs w:val="1"/>
                <w:color w:val="auto"/>
              </w:rPr>
              <w:t>and Unamortized Discount and Debt Issue Costs</w:t>
            </w:r>
          </w:p>
        </w:tc>
        <w:tc>
          <w:tcPr>
            <w:tcW w:w="13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-702310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-702310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-281940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1020" w:right="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unamortized debt issue costs related to long-term debt are presented as a reduction of the carrying amount of the corresponding liabilities on the consolidated balance sheets. Unamortized debt issue costs related to delayed draw term loan commitments and revolving loans are presented within other noncurrent assets on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portion of long-term debt is included within other current liabilities on the consolidated balance 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consists of the following:</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5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5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26,535</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19,928</w:t>
            </w:r>
          </w:p>
        </w:tc>
        <w:tc>
          <w:tcPr>
            <w:tcW w:w="100" w:type="dxa"/>
            <w:vAlign w:val="bottom"/>
            <w:shd w:val="clear" w:color="auto" w:fill="CFF0FC"/>
          </w:tcPr>
          <w:p>
            <w:pPr>
              <w:spacing w:after="0"/>
              <w:rPr>
                <w:sz w:val="18"/>
                <w:szCs w:val="18"/>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principal payments on long-term debt as of December 31, 2024 are as follows: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gridSpan w:val="2"/>
          </w:tcPr>
          <w:p>
            <w:pPr>
              <w:spacing w:after="0"/>
              <w:rPr>
                <w:sz w:val="24"/>
                <w:szCs w:val="24"/>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fair value of long-term debt is based on the present value of future payments discounted by the market interest rates or the fixed rates based on current rates offered to the Company for debt with similar terms and maturities, which is a Level 2 fair value measurement. Long-term debt is presented at carrying value on the consolidated balance sheets. The fair value of long-term debt at December 31, 2024 and 2023 was $287,109 and $304,955,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Revolving Loan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2022 Credit Agreement, the Company had a revolving loan commitment from Capital One in the amount of $50,000.</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2024 Credit Agreement, the Company has a revolving loan commitment in the amount of $100,000. Any borrowing on the revolving loan under the 2024 Credit Agreement is due in full on December 19, 2029. The revolving loan bears interest at a rate per annum equal to (x) term SOFR (which term SOFR is subject to a minimum of 0.00%) plus an applicable margin of 3.00% subject to stepdowns based on leverage-based metrics or (y) an alternate base rate (which will be the highest of (i) the prime rate, (ii) 0.50% above the federal funds effective rate and (iii) one-month term SOFR (which term SOFR is subject to a minimum of 0.00%) plus 1.00%) plus an applicable margin of 2.00% subject to stepdowns based on leverage-based metrics. The unused revolving loan incurs a quarterly undrawn commitment fee of 0.45% per annum subject to stepdowns based on leverage-based metrics.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amounts outstanding on the revolving loan as of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121"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Effective June 9, 2021, the Company’s Board of Directors (the "Board") and its stockholders as of that date adopted and approved the LifeStance Health Group, Inc. 2021 Equity Incentive Plan (the “2021 Equity Incentive Plan”). All equity-based awards subsequent to June 9, 2021 will be granted under the 2021 Equity Incentive Plan. The 2021 Equity Incentive Plan permits the grant of awards of restricted or unrestricted common stock, stock options, stock appreciation rights, restricted stock units, performance awards, and other stock-based awards to employees and directors of, and consultants and advisors to, the Company and its affiliates.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maximum number of shares of the Company’s common stock that may be delivered in satisfaction of awards under the 2021 Equity Incentive Plan was initially reserved at 47,037 shares. The share pool will automatically increase on January 1 of each year through and including 2031 by the lesser of (i) five percent of the number of shares of the Company’s common stock outstanding as of the close of business on the immediately preceding December 31 and</w:t>
      </w:r>
    </w:p>
    <w:p>
      <w:pPr>
        <w:spacing w:after="0" w:line="1" w:lineRule="exact"/>
        <w:rPr>
          <w:sz w:val="20"/>
          <w:szCs w:val="20"/>
          <w:color w:val="auto"/>
        </w:rPr>
      </w:pPr>
    </w:p>
    <w:p>
      <w:pPr>
        <w:ind w:right="540" w:firstLine="8"/>
        <w:spacing w:after="0" w:line="260" w:lineRule="auto"/>
        <w:tabs>
          <w:tab w:leader="none" w:pos="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determined by the Board on or prior to such date for such year. On January 1, 2024, the number of shares of common stock reserved and available for issuance under the 2021 Equity Incentive Plan increased by 18,936 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RSA transactions as of and for the years ended December 31,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r>
      <w:tr>
        <w:trPr>
          <w:trHeight w:val="238"/>
        </w:trPr>
        <w:tc>
          <w:tcPr>
            <w:tcW w:w="6340" w:type="dxa"/>
            <w:vAlign w:val="bottom"/>
          </w:tcPr>
          <w:p>
            <w:pPr>
              <w:spacing w:after="0"/>
              <w:rPr>
                <w:sz w:val="20"/>
                <w:szCs w:val="20"/>
                <w:color w:val="auto"/>
              </w:rPr>
            </w:pPr>
          </w:p>
        </w:tc>
        <w:tc>
          <w:tcPr>
            <w:tcW w:w="24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Unvested Shares</w:t>
            </w:r>
          </w:p>
        </w:tc>
        <w:tc>
          <w:tcPr>
            <w:tcW w:w="200" w:type="dxa"/>
            <w:vAlign w:val="bottom"/>
          </w:tcPr>
          <w:p>
            <w:pPr>
              <w:spacing w:after="0"/>
              <w:rPr>
                <w:sz w:val="20"/>
                <w:szCs w:val="20"/>
                <w:color w:val="auto"/>
              </w:rPr>
            </w:pPr>
          </w:p>
        </w:tc>
        <w:tc>
          <w:tcPr>
            <w:tcW w:w="2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r>
      <w:tr>
        <w:trPr>
          <w:trHeight w:val="21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2022</w:t>
            </w: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3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(9,247 )</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8"/>
                <w:szCs w:val="18"/>
                <w:color w:val="auto"/>
              </w:rPr>
            </w:pPr>
          </w:p>
        </w:tc>
      </w:tr>
      <w:tr>
        <w:trPr>
          <w:trHeight w:val="21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(2,070 )</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FF0FC"/>
          </w:tcPr>
          <w:p>
            <w:pPr>
              <w:spacing w:after="0"/>
              <w:rPr>
                <w:sz w:val="18"/>
                <w:szCs w:val="18"/>
                <w:color w:val="auto"/>
              </w:rPr>
            </w:pPr>
          </w:p>
        </w:tc>
      </w:tr>
      <w:tr>
        <w:trPr>
          <w:trHeight w:val="210"/>
        </w:trPr>
        <w:tc>
          <w:tcPr>
            <w:tcW w:w="63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Unvested, December 31, 2023</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3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top w:val="single" w:sz="8" w:color="CFF0FC"/>
            </w:tcBorders>
          </w:tcPr>
          <w:p>
            <w:pPr>
              <w:spacing w:after="0"/>
              <w:rPr>
                <w:sz w:val="18"/>
                <w:szCs w:val="18"/>
                <w:color w:val="auto"/>
              </w:rPr>
            </w:pPr>
          </w:p>
        </w:tc>
      </w:tr>
      <w:tr>
        <w:trPr>
          <w:trHeight w:val="21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(3,211 )</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8"/>
                <w:szCs w:val="18"/>
                <w:color w:val="auto"/>
              </w:rPr>
            </w:pPr>
          </w:p>
        </w:tc>
      </w:tr>
      <w:tr>
        <w:trPr>
          <w:trHeight w:val="250"/>
        </w:trPr>
        <w:tc>
          <w:tcPr>
            <w:tcW w:w="63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Unvested, December 31, 2024</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-591185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RSU transactions as of and for the years ended December 31,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8"/>
        </w:trPr>
        <w:tc>
          <w:tcPr>
            <w:tcW w:w="40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Unvested Shares</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100" w:type="dxa"/>
            <w:vAlign w:val="bottom"/>
          </w:tcPr>
          <w:p>
            <w:pPr>
              <w:spacing w:after="0"/>
              <w:rPr>
                <w:sz w:val="20"/>
                <w:szCs w:val="20"/>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4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7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(4,831 )</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 and forfeited</w:t>
            </w:r>
          </w:p>
        </w:tc>
        <w:tc>
          <w:tcPr>
            <w:tcW w:w="2300" w:type="dxa"/>
            <w:vAlign w:val="bottom"/>
          </w:tcPr>
          <w:p>
            <w:pPr>
              <w:spacing w:after="0"/>
              <w:rPr>
                <w:sz w:val="18"/>
                <w:szCs w:val="18"/>
                <w:color w:val="auto"/>
              </w:rPr>
            </w:pP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(3,879 )</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8"/>
                <w:szCs w:val="18"/>
                <w:color w:val="auto"/>
              </w:rPr>
            </w:pPr>
          </w:p>
        </w:tc>
      </w:tr>
      <w:tr>
        <w:trPr>
          <w:trHeight w:val="209"/>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2300" w:type="dxa"/>
            <w:vAlign w:val="bottom"/>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7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(7,221 )</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 and forfeited</w:t>
            </w:r>
          </w:p>
        </w:tc>
        <w:tc>
          <w:tcPr>
            <w:tcW w:w="2300" w:type="dxa"/>
            <w:vAlign w:val="bottom"/>
          </w:tcPr>
          <w:p>
            <w:pPr>
              <w:spacing w:after="0"/>
              <w:rPr>
                <w:sz w:val="18"/>
                <w:szCs w:val="18"/>
                <w:color w:val="auto"/>
              </w:rPr>
            </w:pP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(5,825 )</w:t>
            </w:r>
          </w:p>
        </w:tc>
        <w:tc>
          <w:tcPr>
            <w:tcW w:w="2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8"/>
                <w:szCs w:val="18"/>
                <w:color w:val="auto"/>
              </w:rPr>
            </w:pPr>
          </w:p>
        </w:tc>
      </w:tr>
      <w:tr>
        <w:trPr>
          <w:trHeight w:val="249"/>
        </w:trPr>
        <w:tc>
          <w:tcPr>
            <w:tcW w:w="4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230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24,003</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4040" w:type="dxa"/>
            <w:vAlign w:val="bottom"/>
          </w:tcPr>
          <w:p>
            <w:pPr>
              <w:spacing w:after="0"/>
              <w:rPr>
                <w:sz w:val="24"/>
                <w:szCs w:val="24"/>
                <w:color w:val="auto"/>
              </w:rPr>
            </w:pPr>
          </w:p>
        </w:tc>
        <w:tc>
          <w:tcPr>
            <w:tcW w:w="4720" w:type="dxa"/>
            <w:vAlign w:val="bottom"/>
            <w:gridSpan w:val="3"/>
          </w:tcPr>
          <w:p>
            <w:pPr>
              <w:jc w:val="right"/>
              <w:ind w:right="2960"/>
              <w:spacing w:after="0"/>
              <w:rPr>
                <w:sz w:val="20"/>
                <w:szCs w:val="20"/>
                <w:color w:val="auto"/>
              </w:rPr>
            </w:pPr>
            <w:r>
              <w:rPr>
                <w:rFonts w:ascii="Times New Roman" w:cs="Times New Roman" w:eastAsia="Times New Roman" w:hAnsi="Times New Roman"/>
                <w:sz w:val="18"/>
                <w:szCs w:val="18"/>
                <w:color w:val="auto"/>
              </w:rPr>
              <w:t>F-22</w:t>
            </w: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-796290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-779145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0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is a summary of stock option activity as of and for the years ended December 31, 2024 and 2023:</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5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546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0"/>
                <w:szCs w:val="20"/>
                <w:color w:val="auto"/>
              </w:rPr>
            </w:pPr>
          </w:p>
        </w:tc>
      </w:tr>
      <w:tr>
        <w:trPr>
          <w:trHeight w:val="209"/>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 and 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 and 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13,476</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4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2,246</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7.42</w:t>
            </w:r>
          </w:p>
        </w:tc>
        <w:tc>
          <w:tcPr>
            <w:tcW w:w="1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6.46</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7"/>
                <w:szCs w:val="17"/>
                <w:color w:val="auto"/>
              </w:rPr>
            </w:pPr>
          </w:p>
        </w:tc>
      </w:tr>
      <w:tr>
        <w:trPr>
          <w:trHeight w:val="216"/>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 or expected to vest at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-299720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-281940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grant-date fair value of stock options granted during the year ended December 31, 2022 was $56,917.</w:t>
      </w:r>
    </w:p>
    <w:p>
      <w:pPr>
        <w:spacing w:after="0" w:line="11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stock option grants with time-based vesting conditions using a Black-Scholes option-pricing model with the following assumptions presented on a weighted-average basis: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2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5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0"/>
                <w:szCs w:val="20"/>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FF0FC"/>
          </w:tcPr>
          <w:p>
            <w:pPr>
              <w:spacing w:after="0"/>
              <w:rPr>
                <w:sz w:val="18"/>
                <w:szCs w:val="18"/>
                <w:color w:val="auto"/>
              </w:rPr>
            </w:pPr>
          </w:p>
        </w:tc>
        <w:tc>
          <w:tcPr>
            <w:tcW w:w="3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3.22 %</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60" w:type="dxa"/>
            <w:vAlign w:val="bottom"/>
          </w:tcPr>
          <w:p>
            <w:pPr>
              <w:spacing w:after="0"/>
              <w:rPr>
                <w:sz w:val="18"/>
                <w:szCs w:val="18"/>
                <w:color w:val="auto"/>
              </w:rPr>
            </w:pPr>
          </w:p>
        </w:tc>
        <w:tc>
          <w:tcPr>
            <w:tcW w:w="3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55.00 %</w:t>
            </w: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shd w:val="clear" w:color="auto" w:fill="CFF0FC"/>
          </w:tcPr>
          <w:p>
            <w:pPr>
              <w:spacing w:after="0"/>
              <w:rPr>
                <w:sz w:val="18"/>
                <w:szCs w:val="18"/>
                <w:color w:val="auto"/>
              </w:rPr>
            </w:pP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60" w:type="dxa"/>
            <w:vAlign w:val="bottom"/>
          </w:tcPr>
          <w:p>
            <w:pPr>
              <w:spacing w:after="0"/>
              <w:rPr>
                <w:sz w:val="18"/>
                <w:szCs w:val="18"/>
                <w:color w:val="auto"/>
              </w:rPr>
            </w:pPr>
          </w:p>
        </w:tc>
        <w:tc>
          <w:tcPr>
            <w:tcW w:w="3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fair value per option granted</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stock option grants with time- and market-based vesting conditions using a Monte Carlo simulation that incorporate estimates of the potential outcomes of the market condition on the grant with the following assumptions: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2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5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0"/>
                <w:szCs w:val="20"/>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FF0FC"/>
          </w:tcPr>
          <w:p>
            <w:pPr>
              <w:spacing w:after="0"/>
              <w:rPr>
                <w:sz w:val="18"/>
                <w:szCs w:val="18"/>
                <w:color w:val="auto"/>
              </w:rPr>
            </w:pPr>
          </w:p>
        </w:tc>
        <w:tc>
          <w:tcPr>
            <w:tcW w:w="3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3.22 %</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60" w:type="dxa"/>
            <w:vAlign w:val="bottom"/>
          </w:tcPr>
          <w:p>
            <w:pPr>
              <w:spacing w:after="0"/>
              <w:rPr>
                <w:sz w:val="18"/>
                <w:szCs w:val="18"/>
                <w:color w:val="auto"/>
              </w:rPr>
            </w:pPr>
          </w:p>
        </w:tc>
        <w:tc>
          <w:tcPr>
            <w:tcW w:w="3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55.00 %</w:t>
            </w: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service period (years)</w:t>
            </w:r>
          </w:p>
        </w:tc>
        <w:tc>
          <w:tcPr>
            <w:tcW w:w="560" w:type="dxa"/>
            <w:vAlign w:val="bottom"/>
            <w:shd w:val="clear" w:color="auto" w:fill="CFF0FC"/>
          </w:tcPr>
          <w:p>
            <w:pPr>
              <w:spacing w:after="0"/>
              <w:rPr>
                <w:sz w:val="18"/>
                <w:szCs w:val="18"/>
                <w:color w:val="auto"/>
              </w:rPr>
            </w:pP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60" w:type="dxa"/>
            <w:vAlign w:val="bottom"/>
          </w:tcPr>
          <w:p>
            <w:pPr>
              <w:spacing w:after="0"/>
              <w:rPr>
                <w:sz w:val="18"/>
                <w:szCs w:val="18"/>
                <w:color w:val="auto"/>
              </w:rPr>
            </w:pPr>
          </w:p>
        </w:tc>
        <w:tc>
          <w:tcPr>
            <w:tcW w:w="3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option granted</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risk-free interest rate is determined by reference to the U.S. Treasury yield curve in effect at the time of grant of the award for time periods approximately equal to the expected term of the award. The Company lacks company-specific historical and implied volatility information. Therefore, it estimated its expected stock volatility based on the historical volatility of a publicly traded set of peer companies. Expected dividend yield is based on the fact that the Company has never paid cash dividends and does not expect to pay any cash dividends in the foreseeable future.</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determines the expected term of time-based vesting condition options using the simplified method which is used when there is insufficient historical data about exercise patterns.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expected service period of the time- and market-based vesting condition options is based on projected exercise dates resulting from the Monte Carlo simulation for each award tranche.</w:t>
      </w: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RSAs, RSUs, and stock options within general and administrative expenses in the consolidated statements of operations and comprehensive loss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76,172</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99,388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187,430</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$111,957 in unrecognized compensation expense related to all non-vested RSUs and stock options that will be recognized over the weighted-average remaining service period of 1.2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Effective June 9, 2021, the Board and its stockholders as of that date adopted and approved the LifeStance Health Group, Inc. 2021 Employee Stock Purchase Plan (the “ESPP”). The ESPP permits the grant to eligible employees of the Company and its participating subsidiaries of options to purchase shares of the Company’s common stock.</w:t>
      </w:r>
    </w:p>
    <w:p>
      <w:pPr>
        <w:spacing w:after="0" w:line="68"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aggregate number of shares of the Company common stock available for purchase pursuant to the exercise of options under the ESPP was 6,817 shares, plus an automatic annual increase, as of January 1 of each year beginning in 2022 and continuing through and including 2031, equal to the lesser of</w:t>
      </w:r>
    </w:p>
    <w:p>
      <w:pPr>
        <w:spacing w:after="0" w:line="1" w:lineRule="exact"/>
        <w:rPr>
          <w:sz w:val="20"/>
          <w:szCs w:val="20"/>
          <w:color w:val="auto"/>
        </w:rPr>
      </w:pPr>
    </w:p>
    <w:p>
      <w:pPr>
        <w:ind w:firstLine="8"/>
        <w:spacing w:after="0" w:line="253"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the Company’s common stock outstanding as of the close of business on the immediately preceding December 31 and (ii) the number of shares determined by the Board on or prior to such date for such year, up to a maximum of 42,500 shares of the Company’s common stock in the aggregate. On January 1, 2024, the number of shares of common stock reserved and available for issuance under the ESPP increased by 3,787 shares. The ESPP allows participants to purchase common stock through payroll deductions of up to 15% of their eligible compensation. The purchase price of the shares will be 85% of the lower of the fair market value of the Company’s common stock on the grant date or the exercise date.</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ESPP will generally be implemented by a series of separate offerings referred to as “Option Periods”. Unless otherwise determined by the administrator, the Option Periods will be successive periods of approximately six months commencing on the first business day in January and July of each year, anticipated to be on or around January 1 and July 1, and ending approximately six months later on the last business day in June or December, as applicable, of each year, anticipated to be on or around June 30 and December 31. The last business day of each Option Period will be an “Exercise Date”. The administrator may change the Exercise Date, the commencement date, the ending date and the duration of each Option Period, in each case, to the extent permitted by Section 423 of the Internal Revenue Code; provided, however, that no option may be exercised after 27 months from its grant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no shares of common stock have been purchased under the Company’s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from income taxes is comprised of the following components: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1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5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5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(433 )</w:t>
            </w:r>
          </w:p>
        </w:tc>
      </w:tr>
      <w:tr>
        <w:trPr>
          <w:trHeight w:val="20"/>
        </w:trPr>
        <w:tc>
          <w:tcPr>
            <w:tcW w:w="43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5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(433 )</w:t>
            </w:r>
          </w:p>
        </w:tc>
      </w:tr>
      <w:tr>
        <w:trPr>
          <w:trHeight w:val="24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5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5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(17,134 )</w:t>
            </w:r>
          </w:p>
        </w:tc>
        <w:tc>
          <w:tcPr>
            <w:tcW w:w="480" w:type="dxa"/>
            <w:vAlign w:val="bottom"/>
          </w:tcPr>
          <w:p>
            <w:pPr>
              <w:spacing w:after="0"/>
              <w:rPr>
                <w:sz w:val="21"/>
                <w:szCs w:val="21"/>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(12,364 )</w:t>
            </w:r>
          </w:p>
        </w:tc>
      </w:tr>
      <w:tr>
        <w:trPr>
          <w:trHeight w:val="230"/>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(1,794 )</w:t>
            </w:r>
          </w:p>
        </w:tc>
        <w:tc>
          <w:tcPr>
            <w:tcW w:w="4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(4,776 )</w:t>
            </w:r>
          </w:p>
        </w:tc>
        <w:tc>
          <w:tcPr>
            <w:tcW w:w="4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(4,369 )</w:t>
            </w:r>
          </w:p>
        </w:tc>
      </w:tr>
      <w:tr>
        <w:trPr>
          <w:trHeight w:val="20"/>
        </w:trPr>
        <w:tc>
          <w:tcPr>
            <w:tcW w:w="43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5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(958 )</w:t>
            </w:r>
          </w:p>
        </w:tc>
        <w:tc>
          <w:tcPr>
            <w:tcW w:w="48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(21,910 )</w:t>
            </w:r>
          </w:p>
        </w:tc>
        <w:tc>
          <w:tcPr>
            <w:tcW w:w="4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(16,733 )</w:t>
            </w:r>
          </w:p>
        </w:tc>
      </w:tr>
      <w:tr>
        <w:trPr>
          <w:trHeight w:val="20"/>
        </w:trPr>
        <w:tc>
          <w:tcPr>
            <w:tcW w:w="4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income tax benefit</w:t>
            </w:r>
          </w:p>
        </w:tc>
        <w:tc>
          <w:tcPr>
            <w:tcW w:w="1500" w:type="dxa"/>
            <w:vAlign w:val="bottom"/>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(170 )</w:t>
            </w: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(20,321 )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(17,166 )</w:t>
            </w:r>
          </w:p>
        </w:tc>
      </w:tr>
      <w:tr>
        <w:trPr>
          <w:trHeight w:val="413"/>
        </w:trPr>
        <w:tc>
          <w:tcPr>
            <w:tcW w:w="4360" w:type="dxa"/>
            <w:vAlign w:val="bottom"/>
            <w:tcBorders>
              <w:top w:val="single" w:sz="8" w:color="CFF0FC"/>
            </w:tcBorders>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F-24</w:t>
            </w: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-1713865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-1713865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-1096645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-1096645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-796925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-779780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-796925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-779780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-796925</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-779780</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net deferred tax assets and liabilities consist of the following:</w:t>
            </w: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2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280" w:type="dxa"/>
            <w:vAlign w:val="bottom"/>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 and reserves</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34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48,218</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limitation</w:t>
            </w: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Charitable contributions</w:t>
            </w:r>
          </w:p>
        </w:tc>
        <w:tc>
          <w:tcPr>
            <w:tcW w:w="1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18"/>
                <w:szCs w:val="18"/>
                <w:color w:val="auto"/>
              </w:rPr>
            </w:pPr>
          </w:p>
        </w:tc>
      </w:tr>
      <w:tr>
        <w:trPr>
          <w:trHeight w:val="216"/>
        </w:trPr>
        <w:tc>
          <w:tcPr>
            <w:tcW w:w="6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50,632</w:t>
            </w:r>
          </w:p>
        </w:tc>
        <w:tc>
          <w:tcPr>
            <w:tcW w:w="3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1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127,690</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138,212</w:t>
            </w:r>
          </w:p>
        </w:tc>
        <w:tc>
          <w:tcPr>
            <w:tcW w:w="100" w:type="dxa"/>
            <w:vAlign w:val="bottom"/>
          </w:tcPr>
          <w:p>
            <w:pPr>
              <w:spacing w:after="0"/>
              <w:rPr>
                <w:sz w:val="18"/>
                <w:szCs w:val="18"/>
                <w:color w:val="auto"/>
              </w:rPr>
            </w:pP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14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(18,951 )</w:t>
            </w:r>
          </w:p>
        </w:tc>
        <w:tc>
          <w:tcPr>
            <w:tcW w:w="6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(14,974 )</w:t>
            </w:r>
          </w:p>
        </w:tc>
      </w:tr>
      <w:tr>
        <w:trPr>
          <w:trHeight w:val="209"/>
        </w:trPr>
        <w:tc>
          <w:tcPr>
            <w:tcW w:w="62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108,739</w:t>
            </w:r>
          </w:p>
        </w:tc>
        <w:tc>
          <w:tcPr>
            <w:tcW w:w="34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123,238</w:t>
            </w:r>
          </w:p>
        </w:tc>
        <w:tc>
          <w:tcPr>
            <w:tcW w:w="100" w:type="dxa"/>
            <w:vAlign w:val="bottom"/>
            <w:tcBorders>
              <w:top w:val="single" w:sz="8" w:color="CFF0FC"/>
            </w:tcBorders>
          </w:tcPr>
          <w:p>
            <w:pPr>
              <w:spacing w:after="0"/>
              <w:rPr>
                <w:sz w:val="18"/>
                <w:szCs w:val="18"/>
                <w:color w:val="auto"/>
              </w:rPr>
            </w:pPr>
          </w:p>
        </w:tc>
      </w:tr>
      <w:tr>
        <w:trPr>
          <w:trHeight w:val="210"/>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2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(22,707 )</w:t>
            </w:r>
          </w:p>
        </w:tc>
        <w:tc>
          <w:tcPr>
            <w:tcW w:w="68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(29,101 )</w:t>
            </w:r>
          </w:p>
        </w:tc>
      </w:tr>
      <w:tr>
        <w:trPr>
          <w:trHeight w:val="21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(62,634 )</w:t>
            </w:r>
          </w:p>
        </w:tc>
        <w:tc>
          <w:tcPr>
            <w:tcW w:w="6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(64,940 )</w:t>
            </w: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42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(37,727 )</w:t>
            </w:r>
          </w:p>
        </w:tc>
        <w:tc>
          <w:tcPr>
            <w:tcW w:w="68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(44,769 )</w:t>
            </w:r>
          </w:p>
        </w:tc>
      </w:tr>
      <w:tr>
        <w:trPr>
          <w:trHeight w:val="210"/>
        </w:trPr>
        <w:tc>
          <w:tcPr>
            <w:tcW w:w="628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14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(123,068</w:t>
            </w:r>
          </w:p>
        </w:tc>
        <w:tc>
          <w:tcPr>
            <w:tcW w:w="340" w:type="dxa"/>
            <w:vAlign w:val="bottom"/>
            <w:tcBorders>
              <w:top w:val="single" w:sz="8" w:color="CFF0FC"/>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(14,329 )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(15,572 )</w:t>
            </w:r>
          </w:p>
        </w:tc>
      </w:tr>
      <w:tr>
        <w:trPr>
          <w:trHeight w:val="20"/>
        </w:trPr>
        <w:tc>
          <w:tcPr>
            <w:tcW w:w="6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-1302385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-1019810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-329565</wp:posOffset>
            </wp:positionV>
            <wp:extent cx="93980"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-329565</wp:posOffset>
            </wp:positionV>
            <wp:extent cx="93980"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federal income tax rate to income before benefit from income taxes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r>
      <w:tr>
        <w:trPr>
          <w:trHeight w:val="21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provision at U.S. federal statutory rate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(12,099 )</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7"/>
              </w:rPr>
              <w:t>21.0 %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(43,382 )</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(48,873 )</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(1,193 )</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(5,705 )</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(4,183 )</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(11.6 %)</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IRC Section 162M limitation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(170 )</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0.3 %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(20,321 )</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(17,166 )</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7.4 %</w:t>
            </w: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1543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1543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1543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15430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-8255</wp:posOffset>
            </wp:positionV>
            <wp:extent cx="1543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Differences between the statutory rate are primarily the result of permanent book/tax differences between non-deductible equity awards, valuation allowance activity and state income taxes.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has $164,547 of federal net operating loss carryforwards and $137,180 of state net operating loss carryforwards.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has $191,668 of federal net operating loss carryforwards and $163,177 of state net operating loss carryforwards.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$436 federal net operating loss carryforwards begin to expire in 2037, and the remaining federal net operating loss carryforwards have no expiration. The state net operating loss carryforwards begin to expire in 2028.</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Company’s ability to utilize net operating loss carryforwards or other tax attributes, such as research tax credits (under IRC Section 383), in any taxable year may be limited if it experiences an ownership change. The Company completed an analysis of Section 382 ownership changes in its stock through April 12, 2024 and concluded that the Company has experienced ownership changes that will result in limitations in its ability to use certain of its net operating loss carryforwards. The Company may experience ownership changes in the future as a result of future transactions in its stock. If it is determined that the Company undergoes one or more ownership changes in the future, then the Company’s ability to utilize its federal and state net operating loss carryforwards or other tax attributes may be limited or eliminated.</w:t>
      </w:r>
    </w:p>
    <w:p>
      <w:pPr>
        <w:spacing w:after="0" w:line="79" w:lineRule="exact"/>
        <w:rPr>
          <w:sz w:val="20"/>
          <w:szCs w:val="20"/>
          <w:color w:val="auto"/>
        </w:rPr>
      </w:pPr>
    </w:p>
    <w:p>
      <w:pPr>
        <w:jc w:val="center"/>
        <w:ind w:right="60"/>
        <w:spacing w:after="0" w:line="258" w:lineRule="auto"/>
        <w:rPr>
          <w:sz w:val="20"/>
          <w:szCs w:val="20"/>
          <w:color w:val="auto"/>
        </w:rPr>
      </w:pPr>
      <w:r>
        <w:rPr>
          <w:rFonts w:ascii="Times New Roman" w:cs="Times New Roman" w:eastAsia="Times New Roman" w:hAnsi="Times New Roman"/>
          <w:sz w:val="18"/>
          <w:szCs w:val="18"/>
          <w:color w:val="auto"/>
        </w:rPr>
        <w:t>The Company regularly evaluates the realizability of its deferred tax assets and establishes a valuation allowance if it is more likely than not that some or all of the deferred tax assets will not be realized. As of December 31, 2024 and 2023, the Company had a valuation allowance of $18,951 and $14,974, respectively, against a portion of its charitable contribution carryforward and net operating loss carryforwards for which realization cannot be considered more likely than not at this time. The valuation allowance increased by $3,977 and $13,549 for the years ended December 31, 2024 and 2023, respectively. 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Uncertain Income Tax Positions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in the United States where applicable. The Company's tax returns are still open under the U.S. statute from 2019 to the present. Earlier years may be examined to the extent that loss carryforwards are used in future periods. There are no tax matters under discussion with taxing authorities that are expected to have a material effect on the Company’s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amounts accrued for interest and penalties related to tax contingencies for the years ended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Liability Insurance</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medical malpractice insurance coverage is subject to a $3,000 per claim limit and an annual aggregate shared limit of $8,000. Should the claims-made policy not be renewed or replaced with equivalent insurance, claims based on occurrences during its term, but reported subsequently, would be uninsured. The Company is not aware of any unasserted claims, unreported incidents, or claims outstanding that are expected to exceed malpractice insurance coverage limits as of December 31, 2024 and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Industry</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healthcare industry is subject to numerous laws and regulations of federal, state, and local governments. These laws and regulations include, but are not necessarily limited to, matters such as licensure, accreditation, and government healthcare program participation requirements, reimbursement for patient services, and Medicare fraud and abuse. Recently, government activity has increased with respect to investigations and allegations concerning possible violations of fraud and abuse statutes and regulations by healthcare providers. Violation of these laws and regulations could result in expulsion from government healthcare programs together with imposition of significant fines and penalties, as well as significant repayments for patient services billed.</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Laws and regulations concerning government programs, including Medicare and Medicaid, are complex and subject to varying interpretation. As a result of investigations by governmental agencies, various healthcare companies have received requests for information and notices regarding alleged noncompliance with those laws and regulations, which, in some instances, have resulted in companies entering into significant settlement agreements. Compliance with such laws and regulations may also be subject to future government review and interpretation as well as significant regulatory action, including fines, penalties, and potential exclusion from the related programs. There can be no assurance that regulatory authorities will not challenge the Company’s compliance with these laws and regulations, and it is not possible to determine the impact (if any) such claims or penalties would have upon the Company. In addition, the contracts the Company has with commercial payors also provide for retroactive audit and review of claims.</w:t>
      </w:r>
    </w:p>
    <w:p>
      <w:pPr>
        <w:spacing w:after="0" w:line="8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 is in substantial compliance with fraud and abuse as well as other applicable government laws and regulations. While no regulatory inquiries have been made, compliance with such laws and regulations is subject to government review and interpretation, as well as regulatory actions unknown or unasserted at this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Contingencies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exposed to various risks of loss related to torts; theft of, damage to and destruction of assets; errors and omissions, injuries to employees, and natural disasters. These risks are covered by commercial insurance purchased from independent third parties. There has been no significant reduction in insurance coverage from the previous year in any of the Company’s policies.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Company may be involved from time-to-time in legal actions relating to the ownership and operations of its business. Liabilities related to loss contingencies are recognized when the Company believes it is probable a liability has occurred and the amount can be reasonably estimated by management.</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April 26, 2023, a class action litigation captioned </w:t>
      </w:r>
      <w:r>
        <w:rPr>
          <w:rFonts w:ascii="Times New Roman" w:cs="Times New Roman" w:eastAsia="Times New Roman" w:hAnsi="Times New Roman"/>
          <w:sz w:val="18"/>
          <w:szCs w:val="18"/>
          <w:i w:val="1"/>
          <w:iCs w:val="1"/>
          <w:color w:val="auto"/>
        </w:rPr>
        <w:t>Strong v. LifeStance Health Group, Inc.</w:t>
      </w:r>
      <w:r>
        <w:rPr>
          <w:rFonts w:ascii="Times New Roman" w:cs="Times New Roman" w:eastAsia="Times New Roman" w:hAnsi="Times New Roman"/>
          <w:sz w:val="18"/>
          <w:szCs w:val="18"/>
          <w:color w:val="auto"/>
        </w:rPr>
        <w:t xml:space="preserve"> was filed in the United States District Court for the District of Arizona against the Company by a putative class representing users of the Company's website who allege various privacy-related claims premised on the Company's use of pixel technologies on its website. The lawsuit seeks unspecified monetary damages. The process of resolving these matters is inherently uncertain and may develop over an extended period of time; therefore, at this time, the ultimate resolution cannot be predicted. The Company has not recorded any material accruals for loss contingencies and in management's opinion no material range of loss is estimable for this matter as of December 31, 2024.</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NET LOSS PER SHARE</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(“EPS”) for the Company’s common shares: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10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(57,443 )</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(186,262 )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(215,564 )</w:t>
            </w:r>
          </w:p>
        </w:tc>
        <w:tc>
          <w:tcPr>
            <w:tcW w:w="0" w:type="dxa"/>
            <w:vAlign w:val="bottom"/>
          </w:tcPr>
          <w:p>
            <w:pPr>
              <w:spacing w:after="0"/>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used to compute basic and</w:t>
            </w:r>
          </w:p>
        </w:tc>
        <w:tc>
          <w:tcPr>
            <w:tcW w:w="10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379,147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367,457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355,278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0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(0.15 )</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(0.51 )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(0.61 )</w:t>
            </w: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-25400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issued potentially dilutive instruments in the form of RSAs, RSUs and stock options. The Company did not include any of these instruments in its calculation of diluted loss per share for the years ended December 31, 2024, 2023 and 2022 because to include them would be anti-dilutive due to the Company’s net loss during the period. See Note 11 for the issued, vested and unvested RSAs, RSUs and stock options. The Company excluded the following potential common shares, presented based on amounts outstanding at each period end, from the computation of diluted net loss per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3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21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120" w:type="dxa"/>
            <w:vAlign w:val="bottom"/>
            <w:shd w:val="clear" w:color="auto" w:fill="CFF0FC"/>
          </w:tcPr>
          <w:p>
            <w:pPr>
              <w:spacing w:after="0"/>
              <w:rPr>
                <w:sz w:val="18"/>
                <w:szCs w:val="18"/>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120" w:type="dxa"/>
            <w:vAlign w:val="bottom"/>
          </w:tcPr>
          <w:p>
            <w:pPr>
              <w:spacing w:after="0"/>
              <w:rPr>
                <w:sz w:val="18"/>
                <w:szCs w:val="18"/>
                <w:color w:val="auto"/>
              </w:rPr>
            </w:pPr>
          </w:p>
        </w:tc>
      </w:tr>
      <w:tr>
        <w:trPr>
          <w:trHeight w:val="216"/>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8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39,734</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42,333</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44,475</w:t>
            </w:r>
          </w:p>
        </w:tc>
        <w:tc>
          <w:tcPr>
            <w:tcW w:w="12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3240" w:type="dxa"/>
            <w:vAlign w:val="bottom"/>
          </w:tcPr>
          <w:p>
            <w:pPr>
              <w:spacing w:after="0"/>
              <w:rPr>
                <w:sz w:val="24"/>
                <w:szCs w:val="24"/>
                <w:color w:val="auto"/>
              </w:rPr>
            </w:pPr>
          </w:p>
        </w:tc>
        <w:tc>
          <w:tcPr>
            <w:tcW w:w="40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F-27</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2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-942340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-942340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10.19</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283210</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0" w:lineRule="exact"/>
        <w:rPr>
          <w:sz w:val="20"/>
          <w:szCs w:val="20"/>
          <w:color w:val="auto"/>
        </w:rPr>
      </w:pPr>
    </w:p>
    <w:p>
      <w:pPr>
        <w:spacing w:after="0" w:line="23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Dated as of December 19, 2024</w:t>
      </w:r>
    </w:p>
    <w:p>
      <w:pPr>
        <w:spacing w:after="0" w:line="2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color w:val="auto"/>
        </w:rPr>
        <w:t>LIFESTANCE HEALTH HOLDINGS, INC.,</w:t>
      </w:r>
    </w:p>
    <w:p>
      <w:pPr>
        <w:spacing w:after="0" w:line="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9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LYNNWOOD INTERMEDIATE HOLDINGS, INC.,</w:t>
      </w:r>
    </w:p>
    <w:p>
      <w:pPr>
        <w:spacing w:after="0" w:line="2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as Holdings,</w:t>
      </w:r>
    </w:p>
    <w:p>
      <w:pPr>
        <w:spacing w:after="0" w:line="19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CAPITAL ONE, NATIONAL ASSOCIATION</w:t>
      </w:r>
    </w:p>
    <w:p>
      <w:pPr>
        <w:spacing w:after="0" w:line="2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as Administrative Agent, Collateral Agent, Issuing Bank and Swing Line Lender,</w:t>
      </w:r>
    </w:p>
    <w:p>
      <w:pPr>
        <w:spacing w:after="0" w:line="19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THE OTHER LENDERS PARTY HERETO</w:t>
      </w:r>
    </w:p>
    <w:p>
      <w:pPr>
        <w:spacing w:after="0" w:line="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________________</w:t>
      </w:r>
    </w:p>
    <w:p>
      <w:pPr>
        <w:spacing w:after="0" w:line="19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9"/>
          <w:szCs w:val="19"/>
          <w:color w:val="auto"/>
        </w:rPr>
        <w:t>CAPITAL ONE, NATIONAL ASSOCIATION, CITIZENS BANK, NATIONAL ASSOCIATION, KEYBANK NATIONAL</w:t>
      </w:r>
    </w:p>
    <w:p>
      <w:pPr>
        <w:spacing w:after="0" w:line="3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ASSOCIATION, TRUIST SECURITIES, INC.</w:t>
      </w:r>
    </w:p>
    <w:p>
      <w:pPr>
        <w:jc w:val="center"/>
        <w:ind w:right="600"/>
        <w:spacing w:after="0"/>
        <w:rPr>
          <w:sz w:val="20"/>
          <w:szCs w:val="20"/>
          <w:color w:val="auto"/>
        </w:rPr>
      </w:pPr>
      <w:r>
        <w:rPr>
          <w:rFonts w:ascii="Times New Roman" w:cs="Times New Roman" w:eastAsia="Times New Roman" w:hAnsi="Times New Roman"/>
          <w:sz w:val="20"/>
          <w:szCs w:val="20"/>
          <w:color w:val="auto"/>
        </w:rPr>
        <w:t>and</w:t>
      </w:r>
    </w:p>
    <w:p>
      <w:pPr>
        <w:spacing w:after="0" w:line="1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TPG CAPITAL BD, LLC,</w:t>
      </w:r>
    </w:p>
    <w:p>
      <w:pPr>
        <w:spacing w:after="0" w:line="200" w:lineRule="exact"/>
        <w:rPr>
          <w:sz w:val="20"/>
          <w:szCs w:val="20"/>
          <w:color w:val="auto"/>
        </w:rPr>
      </w:pPr>
    </w:p>
    <w:p>
      <w:pPr>
        <w:spacing w:after="0" w:line="24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________________</w:t>
      </w:r>
    </w:p>
    <w:p>
      <w:pPr>
        <w:spacing w:after="0" w:line="19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BANK OF MONTREAL</w:t>
      </w:r>
    </w:p>
    <w:p>
      <w:pPr>
        <w:spacing w:after="0" w:line="2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and</w:t>
      </w:r>
    </w:p>
    <w:p>
      <w:pPr>
        <w:jc w:val="center"/>
        <w:ind w:right="60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19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297180</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1433195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085" w:right="33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00" w:type="dxa"/>
            <w:vAlign w:val="bottom"/>
          </w:tcPr>
          <w:p>
            <w:pPr>
              <w:spacing w:after="0"/>
              <w:rPr>
                <w:sz w:val="22"/>
                <w:szCs w:val="22"/>
                <w:color w:val="auto"/>
              </w:rPr>
            </w:pPr>
          </w:p>
        </w:tc>
        <w:tc>
          <w:tcPr>
            <w:tcW w:w="8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318"/>
        </w:trPr>
        <w:tc>
          <w:tcPr>
            <w:tcW w:w="1400" w:type="dxa"/>
            <w:vAlign w:val="bottom"/>
          </w:tcPr>
          <w:p>
            <w:pPr>
              <w:spacing w:after="0"/>
              <w:rPr>
                <w:sz w:val="24"/>
                <w:szCs w:val="24"/>
                <w:color w:val="auto"/>
              </w:rPr>
            </w:pPr>
          </w:p>
        </w:tc>
        <w:tc>
          <w:tcPr>
            <w:tcW w:w="84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Article I Definitions and Accounting Terms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Terms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Terms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Rounding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References to Agreements, Laws,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Times of Day and Timing of Payment and Performance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 Forma and Other Calculations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Available Amount Transaction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Guaranties of Hedging Obligations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Currency Generally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Letters of Credit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Benchmark Replacement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Divisions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24"/>
        </w:trPr>
        <w:tc>
          <w:tcPr>
            <w:tcW w:w="1400" w:type="dxa"/>
            <w:vAlign w:val="bottom"/>
          </w:tcPr>
          <w:p>
            <w:pPr>
              <w:spacing w:after="0"/>
              <w:rPr>
                <w:sz w:val="24"/>
                <w:szCs w:val="24"/>
                <w:color w:val="auto"/>
              </w:rPr>
            </w:pPr>
          </w:p>
        </w:tc>
        <w:tc>
          <w:tcPr>
            <w:tcW w:w="84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Article II The Commitments and Borrowings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Letters of Credit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Swing Line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Prepayments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Repayment of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Evidence of Indebtedness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Generally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Sharing of Payments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Incremental Facilities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Refinancing Amendments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Extensions of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Defaulting Lenders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324"/>
        </w:trPr>
        <w:tc>
          <w:tcPr>
            <w:tcW w:w="1400" w:type="dxa"/>
            <w:vAlign w:val="bottom"/>
          </w:tcPr>
          <w:p>
            <w:pPr>
              <w:spacing w:after="0"/>
              <w:rPr>
                <w:sz w:val="24"/>
                <w:szCs w:val="24"/>
                <w:color w:val="auto"/>
              </w:rPr>
            </w:pPr>
          </w:p>
        </w:tc>
        <w:tc>
          <w:tcPr>
            <w:tcW w:w="84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Article III Taxes, Increased Costs Protection and Illegality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Illegality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Increased Cost and Reduced Return; Capital Adequacy; Reserves on Term Benchmark Rate Loans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Funding Losses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Matters Applicable to All Requests for Compensation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Replacement of Lenders under Certain Circumstances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Survival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324"/>
        </w:trPr>
        <w:tc>
          <w:tcPr>
            <w:tcW w:w="1400" w:type="dxa"/>
            <w:vAlign w:val="bottom"/>
          </w:tcPr>
          <w:p>
            <w:pPr>
              <w:spacing w:after="0"/>
              <w:rPr>
                <w:sz w:val="24"/>
                <w:szCs w:val="24"/>
                <w:color w:val="auto"/>
              </w:rPr>
            </w:pPr>
          </w:p>
        </w:tc>
        <w:tc>
          <w:tcPr>
            <w:tcW w:w="84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Article IV Conditions Precedent to Credit Extensions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Conditions to Credit Extensions on Closing Date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Conditions to Credit Extensions after the Closing Date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324"/>
        </w:trPr>
        <w:tc>
          <w:tcPr>
            <w:tcW w:w="1400" w:type="dxa"/>
            <w:vAlign w:val="bottom"/>
          </w:tcPr>
          <w:p>
            <w:pPr>
              <w:spacing w:after="0"/>
              <w:rPr>
                <w:sz w:val="24"/>
                <w:szCs w:val="24"/>
                <w:color w:val="auto"/>
              </w:rPr>
            </w:pPr>
          </w:p>
        </w:tc>
        <w:tc>
          <w:tcPr>
            <w:tcW w:w="84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Article V Representations and Warranties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Existence, Qualification and Power; Compliance with Laws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568325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62"/>
        </w:trPr>
        <w:tc>
          <w:tcPr>
            <w:tcW w:w="140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50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Governmental Authorization and Third Party Authorization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Binding Effect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Labor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Environmental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ERISA Compliance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Subsidiaries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Disclosure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Solvency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USA PATRIOT Act; Anti-Terrorism Laws; Anti-Money Laundering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Collateral Documents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HIPAA</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5.20</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Regulatory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324"/>
        </w:trPr>
        <w:tc>
          <w:tcPr>
            <w:tcW w:w="1400" w:type="dxa"/>
            <w:vAlign w:val="bottom"/>
          </w:tcPr>
          <w:p>
            <w:pPr>
              <w:spacing w:after="0"/>
              <w:rPr>
                <w:sz w:val="24"/>
                <w:szCs w:val="24"/>
                <w:color w:val="auto"/>
              </w:rPr>
            </w:pPr>
          </w:p>
        </w:tc>
        <w:tc>
          <w:tcPr>
            <w:tcW w:w="75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Article VI Affirmative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Compliance with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Books and Records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Inspection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Assurances and Post-Closing Covenant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Use of Proceeds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Regulatory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324"/>
        </w:trPr>
        <w:tc>
          <w:tcPr>
            <w:tcW w:w="1400" w:type="dxa"/>
            <w:vAlign w:val="bottom"/>
          </w:tcPr>
          <w:p>
            <w:pPr>
              <w:spacing w:after="0"/>
              <w:rPr>
                <w:sz w:val="24"/>
                <w:szCs w:val="24"/>
                <w:color w:val="auto"/>
              </w:rPr>
            </w:pPr>
          </w:p>
        </w:tc>
        <w:tc>
          <w:tcPr>
            <w:tcW w:w="75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Article VII Negative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Liens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Indebtedness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Fundamental Changes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Sales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Payments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Burdensome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Changes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Holdings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Amendments to Organizational Documents and Services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324"/>
        </w:trPr>
        <w:tc>
          <w:tcPr>
            <w:tcW w:w="1400" w:type="dxa"/>
            <w:vAlign w:val="bottom"/>
          </w:tcPr>
          <w:p>
            <w:pPr>
              <w:spacing w:after="0"/>
              <w:rPr>
                <w:sz w:val="24"/>
                <w:szCs w:val="24"/>
                <w:color w:val="auto"/>
              </w:rPr>
            </w:pPr>
          </w:p>
        </w:tc>
        <w:tc>
          <w:tcPr>
            <w:tcW w:w="75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Article VIII Events of Default and Remedies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Application of Funds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 to Cure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568325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62"/>
        </w:trPr>
        <w:tc>
          <w:tcPr>
            <w:tcW w:w="144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628"/>
        </w:trPr>
        <w:tc>
          <w:tcPr>
            <w:tcW w:w="1440" w:type="dxa"/>
            <w:vAlign w:val="bottom"/>
          </w:tcPr>
          <w:p>
            <w:pPr>
              <w:spacing w:after="0"/>
              <w:rPr>
                <w:sz w:val="24"/>
                <w:szCs w:val="24"/>
                <w:color w:val="auto"/>
              </w:rPr>
            </w:pPr>
          </w:p>
        </w:tc>
        <w:tc>
          <w:tcPr>
            <w:tcW w:w="754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Article IX The Agents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and Authorization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as a Lender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Exculpatory Provisions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Lack of Reliance on the Administrative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Rights of the Administrative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Reliance by the Administrative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Delegation of Duties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Administrative Agent in Its Individual Capacity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Other Duties,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by the Administrative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Collateral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of Supplemental Administrative Agents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Intercreditor Agreements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Tax</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Return of Payments.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324"/>
        </w:trPr>
        <w:tc>
          <w:tcPr>
            <w:tcW w:w="1440" w:type="dxa"/>
            <w:vAlign w:val="bottom"/>
          </w:tcPr>
          <w:p>
            <w:pPr>
              <w:spacing w:after="0"/>
              <w:rPr>
                <w:sz w:val="24"/>
                <w:szCs w:val="24"/>
                <w:color w:val="auto"/>
              </w:rPr>
            </w:pPr>
          </w:p>
        </w:tc>
        <w:tc>
          <w:tcPr>
            <w:tcW w:w="754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color w:val="auto"/>
              </w:rPr>
              <w:t>Article X Miscellaneous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30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and Other Communications; Facsimile Copies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 and Expenses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by the Borrower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Marshaling; Payments Set Aside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 and Assigns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of Issuing Bank and Swing Line Lender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Confidentiality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Setoff</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RIGHT TO TRIAL BY JURY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10.18</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Binding Effect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10.19</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Lender Action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10.20</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Name, Logo,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10.21</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USA PATRIOT Act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10.22</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of Process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10.23</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10.24</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Collateral and Guarantee Obligations; Subordination of Liens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10.25</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10.26</w:t>
            </w:r>
          </w:p>
        </w:tc>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568325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58"/>
        </w:trPr>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SCHEDULES</w:t>
            </w:r>
          </w:p>
        </w:tc>
        <w:tc>
          <w:tcPr>
            <w:tcW w:w="4520" w:type="dxa"/>
            <w:vAlign w:val="bottom"/>
          </w:tcPr>
          <w:p>
            <w:pPr>
              <w:spacing w:after="0"/>
              <w:rPr>
                <w:sz w:val="22"/>
                <w:szCs w:val="22"/>
                <w:color w:val="auto"/>
              </w:rPr>
            </w:pPr>
          </w:p>
        </w:tc>
      </w:tr>
      <w:tr>
        <w:trPr>
          <w:trHeight w:val="417"/>
        </w:trPr>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1.01(1)</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Closing Date Subsidiary Guarantors</w:t>
            </w:r>
          </w:p>
        </w:tc>
      </w:tr>
      <w:tr>
        <w:trPr>
          <w:trHeight w:val="229"/>
        </w:trPr>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1.01(2)</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Cash Management Banks</w:t>
            </w:r>
          </w:p>
        </w:tc>
      </w:tr>
      <w:tr>
        <w:trPr>
          <w:trHeight w:val="229"/>
        </w:trPr>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1.01(4)</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Hedge Banks</w:t>
            </w:r>
          </w:p>
        </w:tc>
      </w:tr>
      <w:tr>
        <w:trPr>
          <w:trHeight w:val="230"/>
        </w:trPr>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1.01(5)</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Mortgaged Properties</w:t>
            </w:r>
          </w:p>
        </w:tc>
      </w:tr>
      <w:tr>
        <w:trPr>
          <w:trHeight w:val="229"/>
        </w:trPr>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1.01(6)</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Affiliated Practices</w:t>
            </w: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2.01</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Commitments</w:t>
            </w:r>
          </w:p>
        </w:tc>
      </w:tr>
      <w:tr>
        <w:trPr>
          <w:trHeight w:val="229"/>
        </w:trPr>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4.01(1)(b)</w:t>
            </w:r>
          </w:p>
        </w:tc>
        <w:tc>
          <w:tcPr>
            <w:tcW w:w="4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Certain Collateral Documents</w:t>
            </w:r>
          </w:p>
        </w:tc>
      </w:tr>
      <w:tr>
        <w:trPr>
          <w:trHeight w:val="229"/>
        </w:trPr>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4.01(1)(e)</w:t>
            </w:r>
          </w:p>
        </w:tc>
        <w:tc>
          <w:tcPr>
            <w:tcW w:w="4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Local Counsel</w:t>
            </w: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5.12</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Subsidiaries and Other Equity Investments</w:t>
            </w:r>
          </w:p>
        </w:tc>
      </w:tr>
      <w:tr>
        <w:trPr>
          <w:trHeight w:val="229"/>
        </w:trPr>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6.12(2)</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Post-Closing Matters</w:t>
            </w: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7.01</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7.02</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7.05</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58"/>
        </w:trPr>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10.02</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8"/>
              </w:rPr>
              <w:t>Administrative Agent’s Office, Certain Addresses for Notices</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Form 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A-1 Committed Loan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A-2 Swing Line Loan Notice</w:t>
      </w:r>
    </w:p>
    <w:p>
      <w:pPr>
        <w:spacing w:after="0"/>
        <w:rPr>
          <w:sz w:val="20"/>
          <w:szCs w:val="20"/>
          <w:color w:val="auto"/>
        </w:rPr>
      </w:pPr>
      <w:r>
        <w:rPr>
          <w:rFonts w:ascii="Times New Roman" w:cs="Times New Roman" w:eastAsia="Times New Roman" w:hAnsi="Times New Roman"/>
          <w:sz w:val="20"/>
          <w:szCs w:val="20"/>
          <w:color w:val="auto"/>
        </w:rPr>
        <w:t>B-1 Term Note</w:t>
      </w:r>
    </w:p>
    <w:p>
      <w:pPr>
        <w:spacing w:after="0"/>
        <w:rPr>
          <w:sz w:val="20"/>
          <w:szCs w:val="20"/>
          <w:color w:val="auto"/>
        </w:rPr>
      </w:pPr>
      <w:r>
        <w:rPr>
          <w:rFonts w:ascii="Times New Roman" w:cs="Times New Roman" w:eastAsia="Times New Roman" w:hAnsi="Times New Roman"/>
          <w:sz w:val="20"/>
          <w:szCs w:val="20"/>
          <w:color w:val="auto"/>
        </w:rPr>
        <w:t>B-2 Revolving Note</w:t>
      </w:r>
    </w:p>
    <w:p>
      <w:pPr>
        <w:spacing w:after="0"/>
        <w:rPr>
          <w:sz w:val="20"/>
          <w:szCs w:val="20"/>
          <w:color w:val="auto"/>
        </w:rPr>
      </w:pPr>
      <w:r>
        <w:rPr>
          <w:rFonts w:ascii="Times New Roman" w:cs="Times New Roman" w:eastAsia="Times New Roman" w:hAnsi="Times New Roman"/>
          <w:sz w:val="20"/>
          <w:szCs w:val="20"/>
          <w:color w:val="auto"/>
        </w:rPr>
        <w:t>B-3 Swing Line Note</w:t>
      </w:r>
    </w:p>
    <w:p>
      <w:pPr>
        <w:ind w:left="400" w:hanging="392"/>
        <w:spacing w:after="0"/>
        <w:tabs>
          <w:tab w:leader="none" w:pos="4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Certificate</w:t>
      </w:r>
    </w:p>
    <w:p>
      <w:pPr>
        <w:spacing w:after="0" w:line="200" w:lineRule="exact"/>
        <w:rPr>
          <w:sz w:val="20"/>
          <w:szCs w:val="20"/>
          <w:color w:val="auto"/>
        </w:rPr>
      </w:pPr>
    </w:p>
    <w:p>
      <w:pPr>
        <w:spacing w:after="0" w:line="237"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Guaranty</w:t>
      </w:r>
    </w:p>
    <w:p>
      <w:pPr>
        <w:spacing w:after="0" w:line="21" w:lineRule="exact"/>
        <w:rPr>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 and Security Agreement</w:t>
      </w:r>
    </w:p>
    <w:p>
      <w:pPr>
        <w:spacing w:after="0"/>
        <w:rPr>
          <w:sz w:val="20"/>
          <w:szCs w:val="20"/>
          <w:color w:val="auto"/>
        </w:rPr>
      </w:pPr>
      <w:r>
        <w:rPr>
          <w:rFonts w:ascii="Times New Roman" w:cs="Times New Roman" w:eastAsia="Times New Roman" w:hAnsi="Times New Roman"/>
          <w:sz w:val="20"/>
          <w:szCs w:val="20"/>
          <w:color w:val="auto"/>
        </w:rPr>
        <w:t>G-1 Equal Priority Intercreditor Agreement</w:t>
      </w:r>
    </w:p>
    <w:p>
      <w:pPr>
        <w:spacing w:after="0"/>
        <w:rPr>
          <w:sz w:val="20"/>
          <w:szCs w:val="20"/>
          <w:color w:val="auto"/>
        </w:rPr>
      </w:pPr>
      <w:r>
        <w:rPr>
          <w:rFonts w:ascii="Times New Roman" w:cs="Times New Roman" w:eastAsia="Times New Roman" w:hAnsi="Times New Roman"/>
          <w:sz w:val="20"/>
          <w:szCs w:val="20"/>
          <w:color w:val="auto"/>
        </w:rPr>
        <w:t>G-2 Junior Priority Intercreditor Agreement</w:t>
      </w:r>
    </w:p>
    <w:p>
      <w:pPr>
        <w:spacing w:after="0"/>
        <w:rPr>
          <w:sz w:val="20"/>
          <w:szCs w:val="20"/>
          <w:color w:val="auto"/>
        </w:rPr>
      </w:pPr>
      <w:r>
        <w:rPr>
          <w:rFonts w:ascii="Times New Roman" w:cs="Times New Roman" w:eastAsia="Times New Roman" w:hAnsi="Times New Roman"/>
          <w:sz w:val="20"/>
          <w:szCs w:val="20"/>
          <w:color w:val="auto"/>
        </w:rPr>
        <w:t>H-1 United States Tax Compliance Certificate (Foreign Non-Partnership Lenders)</w:t>
      </w:r>
    </w:p>
    <w:p>
      <w:pPr>
        <w:spacing w:after="0"/>
        <w:rPr>
          <w:sz w:val="20"/>
          <w:szCs w:val="20"/>
          <w:color w:val="auto"/>
        </w:rPr>
      </w:pPr>
      <w:r>
        <w:rPr>
          <w:rFonts w:ascii="Times New Roman" w:cs="Times New Roman" w:eastAsia="Times New Roman" w:hAnsi="Times New Roman"/>
          <w:sz w:val="20"/>
          <w:szCs w:val="20"/>
          <w:color w:val="auto"/>
        </w:rPr>
        <w:t>H-2 United States Tax Compliance Certificate (Foreign Partnership Lenders)</w:t>
      </w:r>
    </w:p>
    <w:p>
      <w:pPr>
        <w:spacing w:after="0"/>
        <w:rPr>
          <w:sz w:val="20"/>
          <w:szCs w:val="20"/>
          <w:color w:val="auto"/>
        </w:rPr>
      </w:pPr>
      <w:r>
        <w:rPr>
          <w:rFonts w:ascii="Times New Roman" w:cs="Times New Roman" w:eastAsia="Times New Roman" w:hAnsi="Times New Roman"/>
          <w:sz w:val="19"/>
          <w:szCs w:val="19"/>
          <w:color w:val="auto"/>
        </w:rPr>
        <w:t>H-3 United States Tax Compliance Certificate (Foreign Non-Partnership Participants)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H-4 United States Tax Compliance Certificate (Foreign Partnership Participants)</w:t>
      </w:r>
    </w:p>
    <w:p>
      <w:pPr>
        <w:ind w:left="400" w:hanging="392"/>
        <w:spacing w:after="0"/>
        <w:tabs>
          <w:tab w:leader="none" w:pos="4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Solvency Certificate</w:t>
      </w:r>
    </w:p>
    <w:p>
      <w:pPr>
        <w:ind w:right="6899" w:firstLine="8"/>
        <w:spacing w:after="0" w:line="252" w:lineRule="auto"/>
        <w:tabs>
          <w:tab w:leader="none" w:pos="39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Discount Range Prepayment Notice K Discount Range Prepayment Offer</w:t>
      </w:r>
    </w:p>
    <w:p>
      <w:pPr>
        <w:ind w:right="6519"/>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 Solicited Discounted Prepayment Notice M Acceptance and Prepayment Notice</w:t>
      </w:r>
    </w:p>
    <w:p>
      <w:pPr>
        <w:ind w:right="6419"/>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N Specified Discount Prepayment Notice O Solicited Discounted Prepayment Offer P Specified Discount Prepayment Response Q Intercompany Note</w:t>
      </w:r>
    </w:p>
    <w:p>
      <w:pPr>
        <w:spacing w:after="0" w:line="1" w:lineRule="exact"/>
        <w:rPr>
          <w:rFonts w:ascii="Times New Roman" w:cs="Times New Roman" w:eastAsia="Times New Roman" w:hAnsi="Times New Roman"/>
          <w:sz w:val="19"/>
          <w:szCs w:val="19"/>
          <w:color w:val="auto"/>
        </w:rPr>
      </w:pPr>
    </w:p>
    <w:p>
      <w:pPr>
        <w:ind w:right="7779"/>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R-1 Letter of Credit Report R-2 Swing Line Loan Report</w:t>
      </w:r>
    </w:p>
    <w:p>
      <w:pPr>
        <w:spacing w:after="0" w:line="3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96" w:name="page97"/>
    <w:bookmarkEnd w:id="96"/>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CREDIT AGREEMENT</w:t>
      </w:r>
    </w:p>
    <w:p>
      <w:pPr>
        <w:spacing w:after="0" w:line="220"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0"/>
          <w:szCs w:val="20"/>
          <w:color w:val="auto"/>
        </w:rPr>
        <w:t>This CREDIT AGREEMENT is entered into as of December 19, 2024, by and among LifeStance Health Holdings, Inc., a Delaware corporation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Lynnwood Intermediate Holdings, Inc.,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Capital One, National Association (“</w:t>
      </w:r>
      <w:r>
        <w:rPr>
          <w:rFonts w:ascii="Times New Roman" w:cs="Times New Roman" w:eastAsia="Times New Roman" w:hAnsi="Times New Roman"/>
          <w:sz w:val="20"/>
          <w:szCs w:val="20"/>
          <w:b w:val="1"/>
          <w:bCs w:val="1"/>
          <w:color w:val="auto"/>
        </w:rPr>
        <w:t>Capital One</w:t>
      </w:r>
      <w:r>
        <w:rPr>
          <w:rFonts w:ascii="Times New Roman" w:cs="Times New Roman" w:eastAsia="Times New Roman" w:hAnsi="Times New Roman"/>
          <w:sz w:val="20"/>
          <w:szCs w:val="20"/>
          <w:color w:val="auto"/>
        </w:rPr>
        <w:t>”), as administrative agent (in such capacity, including any successor thereto, the “</w:t>
      </w:r>
      <w:r>
        <w:rPr>
          <w:rFonts w:ascii="Times New Roman" w:cs="Times New Roman" w:eastAsia="Times New Roman" w:hAnsi="Times New Roman"/>
          <w:sz w:val="20"/>
          <w:szCs w:val="20"/>
          <w:b w:val="1"/>
          <w:bCs w:val="1"/>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under the Loan Documents, as collateral agent (in such capacity, including any successor thereto, the “</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Documents, as an Issuing Bank and a Swing Line Lender and each lender from time to time party hereto (collectively, the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PRELIMINARY STATEMENTS</w:t>
      </w:r>
    </w:p>
    <w:p>
      <w:pPr>
        <w:spacing w:after="0" w:line="220" w:lineRule="exact"/>
        <w:rPr>
          <w:sz w:val="20"/>
          <w:szCs w:val="20"/>
          <w:color w:val="auto"/>
        </w:rPr>
      </w:pPr>
    </w:p>
    <w:p>
      <w:pPr>
        <w:ind w:right="20" w:firstLine="1497"/>
        <w:spacing w:after="0" w:line="245" w:lineRule="auto"/>
        <w:rPr>
          <w:sz w:val="20"/>
          <w:szCs w:val="20"/>
          <w:color w:val="auto"/>
        </w:rPr>
      </w:pPr>
      <w:r>
        <w:rPr>
          <w:rFonts w:ascii="Times New Roman" w:cs="Times New Roman" w:eastAsia="Times New Roman" w:hAnsi="Times New Roman"/>
          <w:sz w:val="20"/>
          <w:szCs w:val="20"/>
          <w:color w:val="auto"/>
        </w:rPr>
        <w:t>The Borrower has requested that (a) the Lenders extend credit to the Borrower in the form of (i) $290,000,000 of Closing Date Term Loans and (ii) $100,000,000 of Revolving Commitments on the Closing Date as senior secured credit facilities and (b) from time to time on and after the Closing Date, (i) the Lenders lend Revolving Loans to the Borrower and (ii) the Issuing Banks issue Letters of Credit for the account of the Borrower, each to provide working capital for, and for other general corporate purposes of, the Borrower and its Subsidiaries, pursuant to the Revolving Commitments hereunder and pursuant to the terms of, and subject to the conditions set forth in, this Agreement.</w:t>
      </w:r>
    </w:p>
    <w:p>
      <w:pPr>
        <w:spacing w:after="0" w:line="184" w:lineRule="exact"/>
        <w:rPr>
          <w:sz w:val="20"/>
          <w:szCs w:val="20"/>
          <w:color w:val="auto"/>
        </w:rPr>
      </w:pPr>
    </w:p>
    <w:p>
      <w:pPr>
        <w:ind w:right="180" w:firstLine="1497"/>
        <w:spacing w:after="0" w:line="254" w:lineRule="auto"/>
        <w:rPr>
          <w:sz w:val="20"/>
          <w:szCs w:val="20"/>
          <w:color w:val="auto"/>
        </w:rPr>
      </w:pPr>
      <w:r>
        <w:rPr>
          <w:rFonts w:ascii="Times New Roman" w:cs="Times New Roman" w:eastAsia="Times New Roman" w:hAnsi="Times New Roman"/>
          <w:sz w:val="20"/>
          <w:szCs w:val="20"/>
          <w:color w:val="auto"/>
        </w:rPr>
        <w:t>The proceeds of the Closing Date Term Loans and the Closing Date Revolving Borrowings, together with cash on hand, will be used on the Closing Date to fund the Transactions and to provide working capital for, and other general corporate purposes of, the Borrower and its Subsidiaries.</w:t>
      </w:r>
    </w:p>
    <w:p>
      <w:pPr>
        <w:spacing w:after="0" w:line="174" w:lineRule="exact"/>
        <w:rPr>
          <w:sz w:val="20"/>
          <w:szCs w:val="20"/>
          <w:color w:val="auto"/>
        </w:rPr>
      </w:pPr>
    </w:p>
    <w:p>
      <w:pPr>
        <w:ind w:right="320" w:firstLine="1497"/>
        <w:spacing w:after="0" w:line="269" w:lineRule="auto"/>
        <w:rPr>
          <w:sz w:val="20"/>
          <w:szCs w:val="20"/>
          <w:color w:val="auto"/>
        </w:rPr>
      </w:pPr>
      <w:r>
        <w:rPr>
          <w:rFonts w:ascii="Times New Roman" w:cs="Times New Roman" w:eastAsia="Times New Roman" w:hAnsi="Times New Roman"/>
          <w:sz w:val="20"/>
          <w:szCs w:val="20"/>
          <w:color w:val="auto"/>
        </w:rPr>
        <w:t>The Lenders have indicated their willingness to make Loans, and the Issuing Banks have indicated their willingness to issue Letters of Credit, in each case on the terms and subject to the conditions set forth herein.</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Article I</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 and Accounting Terms</w:t>
      </w:r>
    </w:p>
    <w:p>
      <w:pPr>
        <w:spacing w:after="0" w:line="220" w:lineRule="exact"/>
        <w:rPr>
          <w:sz w:val="20"/>
          <w:szCs w:val="20"/>
          <w:color w:val="auto"/>
        </w:rPr>
      </w:pPr>
    </w:p>
    <w:p>
      <w:pPr>
        <w:ind w:right="460" w:firstLine="1497"/>
        <w:spacing w:after="0" w:line="269" w:lineRule="auto"/>
        <w:rPr>
          <w:sz w:val="20"/>
          <w:szCs w:val="20"/>
          <w:color w:val="auto"/>
        </w:rPr>
      </w:pPr>
      <w:r>
        <w:rPr>
          <w:rFonts w:ascii="Times New Roman" w:cs="Times New Roman" w:eastAsia="Times New Roman" w:hAnsi="Times New Roman"/>
          <w:sz w:val="20"/>
          <w:szCs w:val="20"/>
          <w:color w:val="auto"/>
        </w:rPr>
        <w:t>SECTION 1.01 Defined Terms. As used in this Agreement (including the introductory paragraph hereof and the preliminary statements hereto), the following terms have the meanings set forth below:</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Acceptable Discount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Acceptable Prepayment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5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Acceptance and Prepayment Notice</w:t>
      </w:r>
      <w:r>
        <w:rPr>
          <w:rFonts w:ascii="Times New Roman" w:cs="Times New Roman" w:eastAsia="Times New Roman" w:hAnsi="Times New Roman"/>
          <w:sz w:val="20"/>
          <w:szCs w:val="20"/>
          <w:color w:val="auto"/>
        </w:rPr>
        <w:t xml:space="preserve">” means a notice of the Borrower’s acceptance of the Acceptable Discount in substantially the form of </w:t>
      </w:r>
      <w:r>
        <w:rPr>
          <w:rFonts w:ascii="Times New Roman" w:cs="Times New Roman" w:eastAsia="Times New Roman" w:hAnsi="Times New Roman"/>
          <w:sz w:val="20"/>
          <w:szCs w:val="20"/>
          <w:u w:val="single" w:color="auto"/>
          <w:color w:val="auto"/>
        </w:rPr>
        <w:t>Exhibit M</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Acceptance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2.05(1)(e)(D)(2)</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97" w:name="page98"/>
    <w:bookmarkEnd w:id="97"/>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Acquired Indebtedness</w:t>
      </w:r>
      <w:r>
        <w:rPr>
          <w:rFonts w:ascii="Times New Roman" w:cs="Times New Roman" w:eastAsia="Times New Roman" w:hAnsi="Times New Roman"/>
          <w:sz w:val="20"/>
          <w:szCs w:val="20"/>
          <w:color w:val="auto"/>
        </w:rPr>
        <w:t>” means, with respect to any specified Person,</w:t>
      </w:r>
    </w:p>
    <w:p>
      <w:pPr>
        <w:spacing w:after="0" w:line="220" w:lineRule="exact"/>
        <w:rPr>
          <w:sz w:val="20"/>
          <w:szCs w:val="20"/>
          <w:color w:val="auto"/>
        </w:rPr>
      </w:pPr>
    </w:p>
    <w:p>
      <w:pPr>
        <w:ind w:left="760" w:firstLine="745"/>
        <w:spacing w:after="0" w:line="249" w:lineRule="auto"/>
        <w:tabs>
          <w:tab w:leader="none" w:pos="190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other Person existing at the time such other Person is merged, consolidated or amalgamated with or into or became a Restricted Subsidiary of such specified Person, including Indebtedness incurred by such other Person in connection with, or in contemplation of, such other Person merging, amalgamating or consolidating with or into, or becoming a Restricted Subsidiary of, such specified Person, and</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secured by a Lien encumbering any asset acquired by such specified Person.</w:t>
      </w:r>
    </w:p>
    <w:p>
      <w:pPr>
        <w:spacing w:after="0" w:line="212" w:lineRule="exact"/>
        <w:rPr>
          <w:sz w:val="20"/>
          <w:szCs w:val="20"/>
          <w:color w:val="auto"/>
        </w:rPr>
      </w:pPr>
    </w:p>
    <w:p>
      <w:pPr>
        <w:ind w:right="20"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Lender</w:t>
      </w:r>
      <w:r>
        <w:rPr>
          <w:rFonts w:ascii="Times New Roman" w:cs="Times New Roman" w:eastAsia="Times New Roman" w:hAnsi="Times New Roman"/>
          <w:sz w:val="20"/>
          <w:szCs w:val="20"/>
          <w:color w:val="auto"/>
        </w:rPr>
        <w:t xml:space="preserve">” means, at any time, any bank, other financial institution or institutional lender or investor that, in any case, is not an existing Lender and that agrees to provide any portion of any (a) Incremental Loan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(b) Other Loans pursuant to a Refinancing Amendment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(c) Replacement Loans pursuant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each Additional Lender shall be subject to the approval of the Administrative Agent, such approval not to be unreasonably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withheld, conditioned or delayed, in each case solely to the extent that any such consent would be required from the Administrative Agent under </w:t>
      </w:r>
      <w:r>
        <w:rPr>
          <w:rFonts w:ascii="Times New Roman" w:cs="Times New Roman" w:eastAsia="Times New Roman" w:hAnsi="Times New Roman"/>
          <w:sz w:val="20"/>
          <w:szCs w:val="20"/>
          <w:u w:val="single" w:color="auto"/>
          <w:color w:val="auto"/>
        </w:rPr>
        <w:t>Section 10.07(2)(c)(ii)</w:t>
      </w:r>
      <w:r>
        <w:rPr>
          <w:rFonts w:ascii="Times New Roman" w:cs="Times New Roman" w:eastAsia="Times New Roman" w:hAnsi="Times New Roman"/>
          <w:sz w:val="20"/>
          <w:szCs w:val="20"/>
          <w:color w:val="auto"/>
        </w:rPr>
        <w:t xml:space="preserve"> for an assignment of Loans to such Additional Lender, and in the case of Incremental Revolving Commitments and Other Revolving Commitments, the Swing Line Lender and the Issuing Bank, each such approval not to be unreasonably withheld, conditioned or delayed, in each case solely to the extent such consent would be required for any assignment to such Additional Lender under </w:t>
      </w:r>
      <w:r>
        <w:rPr>
          <w:rFonts w:ascii="Times New Roman" w:cs="Times New Roman" w:eastAsia="Times New Roman" w:hAnsi="Times New Roman"/>
          <w:sz w:val="20"/>
          <w:szCs w:val="20"/>
          <w:u w:val="single" w:color="auto"/>
          <w:color w:val="auto"/>
        </w:rPr>
        <w:t>Section 10.07(2)(c)</w:t>
      </w:r>
      <w:r>
        <w:rPr>
          <w:rFonts w:ascii="Times New Roman" w:cs="Times New Roman" w:eastAsia="Times New Roman" w:hAnsi="Times New Roman"/>
          <w:sz w:val="20"/>
          <w:szCs w:val="20"/>
          <w:color w:val="auto"/>
        </w:rPr>
        <w:t>, provided further that any Additional Lender will be subject to the limitations set forth in Section 10.07(8) as if it was becoming a Lender by way of assignment.</w:t>
      </w:r>
    </w:p>
    <w:p>
      <w:pPr>
        <w:spacing w:after="0" w:line="182" w:lineRule="exact"/>
        <w:rPr>
          <w:sz w:val="20"/>
          <w:szCs w:val="20"/>
          <w:color w:val="auto"/>
        </w:rPr>
      </w:pPr>
    </w:p>
    <w:p>
      <w:pPr>
        <w:jc w:val="both"/>
        <w:ind w:right="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Letter of Credit Facility</w:t>
      </w:r>
      <w:r>
        <w:rPr>
          <w:rFonts w:ascii="Times New Roman" w:cs="Times New Roman" w:eastAsia="Times New Roman" w:hAnsi="Times New Roman"/>
          <w:sz w:val="20"/>
          <w:szCs w:val="20"/>
          <w:color w:val="auto"/>
        </w:rPr>
        <w:t>” means any facility established by the Borrower and/or any Restricted Subsidiary to obtain letters of credit, bank guarantees, bankers acceptances or other similar instruments required by customers, suppliers or landlords or otherwise required in the ordinary course of business or consistent with industry practice.</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has the meaning specified in the introductory paragraph to this Agreement.</w:t>
      </w:r>
    </w:p>
    <w:p>
      <w:pPr>
        <w:spacing w:after="0" w:line="216" w:lineRule="exact"/>
        <w:rPr>
          <w:sz w:val="20"/>
          <w:szCs w:val="20"/>
          <w:color w:val="auto"/>
        </w:rPr>
      </w:pPr>
    </w:p>
    <w:p>
      <w:pPr>
        <w:ind w:right="14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Administrative Agent’s Office</w:t>
      </w:r>
      <w:r>
        <w:rPr>
          <w:rFonts w:ascii="Times New Roman" w:cs="Times New Roman" w:eastAsia="Times New Roman" w:hAnsi="Times New Roman"/>
          <w:sz w:val="19"/>
          <w:szCs w:val="19"/>
          <w:color w:val="auto"/>
        </w:rPr>
        <w:t xml:space="preserve">” means the Administrative Agent’s address and, as appropriate, account as set forth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 or such other address or account as the Administrative Agent may from time to time notify the Borrower and the Lenders.</w:t>
      </w:r>
    </w:p>
    <w:p>
      <w:pPr>
        <w:spacing w:after="0" w:line="1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of any specified Person means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20"/>
          <w:szCs w:val="20"/>
          <w:i w:val="1"/>
          <w:iCs w:val="1"/>
          <w:color w:val="auto"/>
        </w:rPr>
        <w:t>control</w:t>
      </w:r>
      <w:r>
        <w:rPr>
          <w:rFonts w:ascii="Times New Roman" w:cs="Times New Roman" w:eastAsia="Times New Roman" w:hAnsi="Times New Roman"/>
          <w:sz w:val="20"/>
          <w:szCs w:val="20"/>
          <w:color w:val="auto"/>
        </w:rPr>
        <w:t>” (including, with correlative meanings, the terms “</w:t>
      </w:r>
      <w:r>
        <w:rPr>
          <w:rFonts w:ascii="Times New Roman" w:cs="Times New Roman" w:eastAsia="Times New Roman" w:hAnsi="Times New Roman"/>
          <w:sz w:val="20"/>
          <w:szCs w:val="20"/>
          <w:i w:val="1"/>
          <w:iCs w:val="1"/>
          <w:color w:val="auto"/>
        </w:rPr>
        <w:t>controlling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under common control with</w:t>
      </w:r>
      <w:r>
        <w:rPr>
          <w:rFonts w:ascii="Times New Roman" w:cs="Times New Roman" w:eastAsia="Times New Roman" w:hAnsi="Times New Roman"/>
          <w:sz w:val="20"/>
          <w:szCs w:val="20"/>
          <w:color w:val="auto"/>
        </w:rPr>
        <w:t>”),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 Transaction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6.15(1)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98" w:name="page99"/>
    <w:bookmarkEnd w:id="98"/>
    <w:p>
      <w:pPr>
        <w:ind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Lender</w:t>
      </w:r>
      <w:r>
        <w:rPr>
          <w:rFonts w:ascii="Times New Roman" w:cs="Times New Roman" w:eastAsia="Times New Roman" w:hAnsi="Times New Roman"/>
          <w:sz w:val="20"/>
          <w:szCs w:val="20"/>
          <w:color w:val="auto"/>
        </w:rPr>
        <w:t>” means, at any time, any Lender that is an Investor or Co-Investor or an Affiliate of an Investor or Co-Investor (other than (a) Holdings, the Borrower or any Subsidiary, (b) any Debt Fund Affiliate or (c) any natural person) at such time.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Lender Assignment and Assumption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10.07(8)(vi)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Lender Cap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10.07(8)(iv)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Practice</w:t>
      </w:r>
      <w:r>
        <w:rPr>
          <w:rFonts w:ascii="Times New Roman" w:cs="Times New Roman" w:eastAsia="Times New Roman" w:hAnsi="Times New Roman"/>
          <w:sz w:val="20"/>
          <w:szCs w:val="20"/>
          <w:color w:val="auto"/>
        </w:rPr>
        <w:t>” means any Person (a) that provides medical, healthcare or related professional services, (b) the Equity Interests of which are not owned by the Borrower or any Restricted Subsidiary, (c) that is a party to an administrative services, practice support or management agreement with the Borrower or a Restricted Subsidiary pursuant to which the Borrower or any Restricted Subsidiary provides administrative, management, practice support or other non-clinical services to such Person, without exercising any professional medical judgment (including as to the day-to-day non-clinical, administrative operations of such Person) (each, a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 that pays the Borrower or such Guarantor fees pursuant to any Services Agreement to which such Person is a party and (e)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permitted by applicable law, the Equity Interests of which are owned by Persons party to a customary stock transfer agreement with the Borrower or a Guarantor. Schedule 1.01(6) lists each Person which is an “Affiliated Practice” as of the Closing Date.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10.02(4)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Agent-Related Distress Event</w:t>
      </w:r>
      <w:r>
        <w:rPr>
          <w:rFonts w:ascii="Times New Roman" w:cs="Times New Roman" w:eastAsia="Times New Roman" w:hAnsi="Times New Roman"/>
          <w:sz w:val="20"/>
          <w:szCs w:val="20"/>
          <w:color w:val="auto"/>
        </w:rPr>
        <w:t>” means, with respect to the Administrative Agent or any other Person that directly or indirectly controls the Administrative Agent (each, a “</w:t>
      </w:r>
      <w:r>
        <w:rPr>
          <w:rFonts w:ascii="Times New Roman" w:cs="Times New Roman" w:eastAsia="Times New Roman" w:hAnsi="Times New Roman"/>
          <w:sz w:val="20"/>
          <w:szCs w:val="20"/>
          <w:b w:val="1"/>
          <w:bCs w:val="1"/>
          <w:color w:val="auto"/>
        </w:rPr>
        <w:t>Distressed Agent</w:t>
      </w:r>
      <w:r>
        <w:rPr>
          <w:rFonts w:ascii="Times New Roman" w:cs="Times New Roman" w:eastAsia="Times New Roman" w:hAnsi="Times New Roman"/>
          <w:sz w:val="20"/>
          <w:szCs w:val="20"/>
          <w:color w:val="auto"/>
        </w:rPr>
        <w:t xml:space="preserve">”), (a) that such Distressed Agent is or becomes subject to a voluntary or involuntary case under any Debtor Relief Law, (b) a custodian, conservator, receiver or similar official is appointed for such Distressed Agent or any substantial part of such Distressed Agent’s assets or (c) such Distressed Agent is subject to a forced liquidation, makes a general assignment for the benefit of creditors or is otherwise adjudicated as, or determined by any Governmental Authority having regulatory authority over such Distressed Agent or its assets to be, insolvent or bankrupt;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 Agent-Related Distress Event shall not be deemed to have occurred solely by virtue of the ownership or acquisition of any Equity Interests in the Administrative Agent or any Person that directly or indirectly controls the Administrative Agent by a Governmental Authority or an instrumentality thereof so long as such ownership interest does not result in or provide the Administrative Agent with immunity from the jurisdiction of courts within the United States or from the enforcement of judgments or writs of attachment on its assets or permit the Administrative Agent (or such Governmental Authority or instrumentality) to reject, repudiate, disavow or disaffirm any contracts or agreements made with the Administrative Agent.</w:t>
      </w:r>
    </w:p>
    <w:p>
      <w:pPr>
        <w:spacing w:after="0" w:line="187" w:lineRule="exact"/>
        <w:rPr>
          <w:sz w:val="20"/>
          <w:szCs w:val="20"/>
          <w:color w:val="auto"/>
        </w:rPr>
      </w:pPr>
    </w:p>
    <w:p>
      <w:pPr>
        <w:ind w:right="20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Agent-Related Persons</w:t>
      </w:r>
      <w:r>
        <w:rPr>
          <w:rFonts w:ascii="Times New Roman" w:cs="Times New Roman" w:eastAsia="Times New Roman" w:hAnsi="Times New Roman"/>
          <w:sz w:val="20"/>
          <w:szCs w:val="20"/>
          <w:color w:val="auto"/>
        </w:rPr>
        <w:t>” means, in respect of any Agent, such Agent’s (or in the case of the Administrative Agent, the Administrative Agent’s and the Collateral Agent’s) respective Affiliates, and the officers, directors, employees, agents, attorney-in-fact, partners, trustees and advisors of such Persons and of such Persons’ Affiliates.</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Agents</w:t>
      </w:r>
      <w:r>
        <w:rPr>
          <w:rFonts w:ascii="Times New Roman" w:cs="Times New Roman" w:eastAsia="Times New Roman" w:hAnsi="Times New Roman"/>
          <w:sz w:val="20"/>
          <w:szCs w:val="20"/>
          <w:color w:val="auto"/>
        </w:rPr>
        <w:t>” means, collectively, the Administrative Agent, the Collateral Agent and the Supplemental Administrative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Agents (if any).</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right="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Credit Agreement, as amended, restated, amended and restated, modified or supplemented from time to time in accordance with the terms hereof.</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99" w:name="page100"/>
    <w:bookmarkEnd w:id="99"/>
    <w:p>
      <w:pPr>
        <w:ind w:right="18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AHYDO Payment</w:t>
      </w:r>
      <w:r>
        <w:rPr>
          <w:rFonts w:ascii="Times New Roman" w:cs="Times New Roman" w:eastAsia="Times New Roman" w:hAnsi="Times New Roman"/>
          <w:sz w:val="20"/>
          <w:szCs w:val="20"/>
          <w:color w:val="auto"/>
        </w:rPr>
        <w:t>” means any mandatory prepayment or redemption pursuant to the terms of any Indebtedness that is intended or designed to cause such Indebtedness not to be treated as an “applicable high yield discount obligation” within the meaning of Section 163(i) of the Code.</w:t>
      </w:r>
    </w:p>
    <w:p>
      <w:pPr>
        <w:spacing w:after="0" w:line="169" w:lineRule="exact"/>
        <w:rPr>
          <w:sz w:val="20"/>
          <w:szCs w:val="20"/>
          <w:color w:val="auto"/>
        </w:rPr>
      </w:pPr>
    </w:p>
    <w:p>
      <w:pPr>
        <w:ind w:right="20" w:firstLine="1497"/>
        <w:spacing w:after="0" w:line="24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All-In Yield</w:t>
      </w:r>
      <w:r>
        <w:rPr>
          <w:rFonts w:ascii="Times New Roman" w:cs="Times New Roman" w:eastAsia="Times New Roman" w:hAnsi="Times New Roman"/>
          <w:sz w:val="20"/>
          <w:szCs w:val="20"/>
          <w:color w:val="auto"/>
        </w:rPr>
        <w:t xml:space="preserve">” means, as to any Indebtedness, the yield thereof, whether in the form of interest rate, margin, OID, upfront fees, a Term SOFR Rate floor or Base Rate floor (with such increased amount being determined in the manner described in the final proviso of this definition), or otherwise, in each case, incurred or payable by the Borrower ratably to all lenders of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OID and upfront fees shall be equated to interest rate assuming a 4</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year life to maturity (or, if less, the stated life to maturity at the time of incurrence of the applicable Indebtedness);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In Yield” shall not include arrangement fees, structuring fees, commitment fees, underwriting fees, success fees, advisory fees, ticking fees, consent or amendment fees and any similar fees (regardless of how such fees are computed and whether shared or paid, in whole or in part, with or to any or all lenders) and any other fees not generally paid ratably to all lenders of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with respect to any Loans of an applicable Class that includes a Term SOFR Rate floor or Base Rate floor, (1) to the extent that the Reference Rate on the date that the All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 Yield is being calculated is less than such floor, the amount of such difference shall be deemed added to the Applicable Rate for such Loans of such Class for the purpose of calculating the All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 Yield and (2) to the extent that the Reference Rate on the date that the All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 Yield is being calculated is greater than such floor, then the floor shall be disregarded in calculating the All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 Yield.</w:t>
      </w:r>
    </w:p>
    <w:p>
      <w:pPr>
        <w:spacing w:after="0" w:line="163" w:lineRule="exact"/>
        <w:rPr>
          <w:sz w:val="20"/>
          <w:szCs w:val="20"/>
          <w:color w:val="auto"/>
        </w:rPr>
      </w:pPr>
    </w:p>
    <w:p>
      <w:pPr>
        <w:ind w:right="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 shall mean the Bank Secrecy Act, as amended by the Patriot Act, and any other similar laws or regulations concerning or relating to terrorism financing or money laundering.</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Asset Sale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Discount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2.05(1)(e)(C)(2)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Indebtedness</w:t>
      </w:r>
      <w:r>
        <w:rPr>
          <w:rFonts w:ascii="Times New Roman" w:cs="Times New Roman" w:eastAsia="Times New Roman" w:hAnsi="Times New Roman"/>
          <w:sz w:val="20"/>
          <w:szCs w:val="20"/>
          <w:color w:val="auto"/>
        </w:rPr>
        <w:t>” has the meaning specified in the definition of “Weighted Average Life to Maturity.”</w:t>
      </w:r>
    </w:p>
    <w:p>
      <w:pPr>
        <w:spacing w:after="0" w:line="216"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Percentage</w:t>
      </w:r>
      <w:r>
        <w:rPr>
          <w:rFonts w:ascii="Times New Roman" w:cs="Times New Roman" w:eastAsia="Times New Roman" w:hAnsi="Times New Roman"/>
          <w:sz w:val="20"/>
          <w:szCs w:val="20"/>
          <w:color w:val="auto"/>
        </w:rPr>
        <w:t xml:space="preserve">” means, in respect of any Revolving Facility, with respect to any Revolving Lender under such Revolving Facility at any time, the percentage (carried out to the ninth decimal place) of such Revolving Facility represented by such Revolving Lender’s Revolving Commitments under such Revolving Facility at such time,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If the commitment of each Revolving Lender under a Revolving Facility to make Revolving Loans and the obligation of the Issuing Banks to make L/C Credit Extensions under such Revolving Facility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or if the Revolving Commitments under such Revolving Facility have otherwise expired in full, then the Applicable Percentage of each Revolving Lender in respect of such Revolving Facility shall be determined based on the Applicable Percentage of such Revolving Lender in respect of such Revolving Facility most recently in effect, giving effect to any subsequent assignments.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Rate</w:t>
      </w:r>
      <w:r>
        <w:rPr>
          <w:rFonts w:ascii="Times New Roman" w:cs="Times New Roman" w:eastAsia="Times New Roman" w:hAnsi="Times New Roman"/>
          <w:sz w:val="20"/>
          <w:szCs w:val="20"/>
          <w:color w:val="auto"/>
        </w:rPr>
        <w:t>” means a percentage per annum equal to:</w:t>
      </w:r>
    </w:p>
    <w:p>
      <w:pPr>
        <w:spacing w:after="0" w:line="220" w:lineRule="exact"/>
        <w:rPr>
          <w:sz w:val="20"/>
          <w:szCs w:val="20"/>
          <w:color w:val="auto"/>
        </w:rPr>
      </w:pPr>
    </w:p>
    <w:p>
      <w:pPr>
        <w:ind w:right="60" w:firstLine="1505"/>
        <w:spacing w:after="0" w:line="249" w:lineRule="auto"/>
        <w:tabs>
          <w:tab w:leader="none" w:pos="18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Closing Date Term Loans, (a) prior to the first Business Day after delivery of a Compliance Certificate for the first full fiscal quarter ending after the Closing Date pursuant to </w:t>
      </w:r>
      <w:r>
        <w:rPr>
          <w:rFonts w:ascii="Times New Roman" w:cs="Times New Roman" w:eastAsia="Times New Roman" w:hAnsi="Times New Roman"/>
          <w:sz w:val="20"/>
          <w:szCs w:val="20"/>
          <w:u w:val="single" w:color="auto"/>
          <w:color w:val="auto"/>
        </w:rPr>
        <w:t>Section 6.02(1)</w:t>
      </w:r>
      <w:r>
        <w:rPr>
          <w:rFonts w:ascii="Times New Roman" w:cs="Times New Roman" w:eastAsia="Times New Roman" w:hAnsi="Times New Roman"/>
          <w:sz w:val="20"/>
          <w:szCs w:val="20"/>
          <w:color w:val="auto"/>
        </w:rPr>
        <w:t xml:space="preserve">, (i) 2.25% for Term Benchmark Rate Loans and (ii) 1.25% for Base Rate Loans and (b) thereafter, the following percentages per annum, based upon the Total Net Leverage Ratio as specified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6.02(1)</w:t>
      </w:r>
      <w:r>
        <w:rPr>
          <w:rFonts w:ascii="Times New Roman" w:cs="Times New Roman" w:eastAsia="Times New Roman" w:hAnsi="Times New Roman"/>
          <w:sz w:val="20"/>
          <w:szCs w:val="20"/>
          <w:color w:val="auto"/>
        </w:rPr>
        <w:t>:</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00" w:name="page101"/>
    <w:bookmarkEnd w:id="100"/>
    <w:tbl>
      <w:tblPr>
        <w:tblLayout w:type="fixed"/>
        <w:tblInd w:w="860"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Term Benchmark</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56"/>
        </w:trPr>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Pricing Level</w:t>
            </w:r>
          </w:p>
        </w:tc>
        <w:tc>
          <w:tcPr>
            <w:tcW w:w="10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Total Net Leverage Ratio</w:t>
            </w:r>
          </w:p>
        </w:tc>
        <w:tc>
          <w:tcPr>
            <w:tcW w:w="10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Rate Loans</w:t>
            </w:r>
          </w:p>
        </w:tc>
        <w:tc>
          <w:tcPr>
            <w:tcW w:w="120" w:type="dxa"/>
            <w:vAlign w:val="bottom"/>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 Loans</w:t>
            </w:r>
          </w:p>
        </w:tc>
      </w:tr>
      <w:tr>
        <w:trPr>
          <w:trHeight w:val="200"/>
        </w:trPr>
        <w:tc>
          <w:tcPr>
            <w:tcW w:w="21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1</w:t>
            </w:r>
          </w:p>
        </w:tc>
        <w:tc>
          <w:tcPr>
            <w:tcW w:w="100" w:type="dxa"/>
            <w:vAlign w:val="bottom"/>
          </w:tcPr>
          <w:p>
            <w:pPr>
              <w:spacing w:after="0"/>
              <w:rPr>
                <w:sz w:val="17"/>
                <w:szCs w:val="17"/>
                <w:color w:val="auto"/>
              </w:rPr>
            </w:pPr>
          </w:p>
        </w:tc>
        <w:tc>
          <w:tcPr>
            <w:tcW w:w="36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 3.00:1.00</w:t>
            </w:r>
          </w:p>
        </w:tc>
        <w:tc>
          <w:tcPr>
            <w:tcW w:w="100" w:type="dxa"/>
            <w:vAlign w:val="bottom"/>
          </w:tcPr>
          <w:p>
            <w:pPr>
              <w:spacing w:after="0"/>
              <w:rPr>
                <w:sz w:val="17"/>
                <w:szCs w:val="17"/>
                <w:color w:val="auto"/>
              </w:rPr>
            </w:pPr>
          </w:p>
        </w:tc>
        <w:tc>
          <w:tcPr>
            <w:tcW w:w="19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6"/>
              </w:rPr>
              <w:t>3.00%</w:t>
            </w:r>
          </w:p>
        </w:tc>
        <w:tc>
          <w:tcPr>
            <w:tcW w:w="120" w:type="dxa"/>
            <w:vAlign w:val="bottom"/>
          </w:tcPr>
          <w:p>
            <w:pPr>
              <w:spacing w:after="0"/>
              <w:rPr>
                <w:sz w:val="17"/>
                <w:szCs w:val="17"/>
                <w:color w:val="auto"/>
              </w:rPr>
            </w:pPr>
          </w:p>
        </w:tc>
        <w:tc>
          <w:tcPr>
            <w:tcW w:w="2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2.00%</w:t>
            </w:r>
          </w:p>
        </w:tc>
      </w:tr>
      <w:tr>
        <w:trPr>
          <w:trHeight w:val="230"/>
        </w:trPr>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&lt; 3.00:1.00 and ≥ 2.50:1.00</w:t>
            </w:r>
          </w:p>
        </w:tc>
        <w:tc>
          <w:tcPr>
            <w:tcW w:w="20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6"/>
              </w:rPr>
              <w:t>2.75%</w:t>
            </w:r>
          </w:p>
        </w:tc>
        <w:tc>
          <w:tcPr>
            <w:tcW w:w="240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rPr>
              <w:t>1.75%</w:t>
            </w:r>
          </w:p>
        </w:tc>
      </w:tr>
      <w:tr>
        <w:trPr>
          <w:trHeight w:val="229"/>
        </w:trPr>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&lt; 2.50:1.00 and ≥ 2.00:1.00</w:t>
            </w:r>
          </w:p>
        </w:tc>
        <w:tc>
          <w:tcPr>
            <w:tcW w:w="20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6"/>
              </w:rPr>
              <w:t>2.50%</w:t>
            </w:r>
          </w:p>
        </w:tc>
        <w:tc>
          <w:tcPr>
            <w:tcW w:w="240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rPr>
              <w:t>1.50%</w:t>
            </w:r>
          </w:p>
        </w:tc>
      </w:tr>
      <w:tr>
        <w:trPr>
          <w:trHeight w:val="229"/>
        </w:trPr>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&lt; 2.00:1.00 and ≥ 1.50:1.00</w:t>
            </w:r>
          </w:p>
        </w:tc>
        <w:tc>
          <w:tcPr>
            <w:tcW w:w="20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6"/>
              </w:rPr>
              <w:t>2.25%</w:t>
            </w:r>
          </w:p>
        </w:tc>
        <w:tc>
          <w:tcPr>
            <w:tcW w:w="240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rPr>
              <w:t>1.25%</w:t>
            </w:r>
          </w:p>
        </w:tc>
      </w:tr>
      <w:tr>
        <w:trPr>
          <w:trHeight w:val="258"/>
        </w:trPr>
        <w:tc>
          <w:tcPr>
            <w:tcW w:w="2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3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&lt; 1.50:1.00</w:t>
            </w:r>
          </w:p>
        </w:tc>
        <w:tc>
          <w:tcPr>
            <w:tcW w:w="204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6"/>
              </w:rPr>
              <w:t>2.00%</w:t>
            </w:r>
          </w:p>
        </w:tc>
        <w:tc>
          <w:tcPr>
            <w:tcW w:w="240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1" w:lineRule="exact"/>
        <w:rPr>
          <w:sz w:val="20"/>
          <w:szCs w:val="20"/>
          <w:color w:val="auto"/>
        </w:rPr>
      </w:pPr>
    </w:p>
    <w:p>
      <w:pPr>
        <w:ind w:firstLine="1505"/>
        <w:spacing w:after="0" w:line="245" w:lineRule="auto"/>
        <w:tabs>
          <w:tab w:leader="none" w:pos="189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Revolving Loans and unused Revolving Commitments under the Closing Date Revolving Facility and Letter of Credit fees (a) prior to the first Business Day after delivery of a Compliance Certificate with respect to the first full fiscal quarter ending after the Closing Date pursuant to </w:t>
      </w:r>
      <w:r>
        <w:rPr>
          <w:rFonts w:ascii="Times New Roman" w:cs="Times New Roman" w:eastAsia="Times New Roman" w:hAnsi="Times New Roman"/>
          <w:sz w:val="20"/>
          <w:szCs w:val="20"/>
          <w:u w:val="single" w:color="auto"/>
          <w:color w:val="auto"/>
        </w:rPr>
        <w:t>Section 6.02(1)</w:t>
      </w:r>
      <w:r>
        <w:rPr>
          <w:rFonts w:ascii="Times New Roman" w:cs="Times New Roman" w:eastAsia="Times New Roman" w:hAnsi="Times New Roman"/>
          <w:sz w:val="20"/>
          <w:szCs w:val="20"/>
          <w:color w:val="auto"/>
        </w:rPr>
        <w:t xml:space="preserve">, (i) 2.25% for Term Benchmark Rate Loans and Letter of Credit fees, (ii) 1.25% for Base Rate Loans and (iii) 0.30% for the Commitment Fee Rate for unused Revolving Commitments and (b) thereafter, the following percentages per annum, based upon the Total Net Leverage Ratio as specified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6.02(1)</w:t>
      </w:r>
      <w:r>
        <w:rPr>
          <w:rFonts w:ascii="Times New Roman" w:cs="Times New Roman" w:eastAsia="Times New Roman" w:hAnsi="Times New Roman"/>
          <w:sz w:val="20"/>
          <w:szCs w:val="20"/>
          <w:color w:val="auto"/>
        </w:rPr>
        <w:t>:</w:t>
      </w:r>
    </w:p>
    <w:p>
      <w:pPr>
        <w:spacing w:after="0" w:line="180"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Term Benchmark Rate</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29"/>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Total Net</w:t>
            </w: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Loans and</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56"/>
        </w:trPr>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Pricing Level</w:t>
            </w:r>
          </w:p>
        </w:tc>
        <w:tc>
          <w:tcPr>
            <w:tcW w:w="12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Leverage Ratio</w:t>
            </w:r>
          </w:p>
        </w:tc>
        <w:tc>
          <w:tcPr>
            <w:tcW w:w="100" w:type="dxa"/>
            <w:vAlign w:val="bottom"/>
          </w:tcPr>
          <w:p>
            <w:pPr>
              <w:spacing w:after="0"/>
              <w:rPr>
                <w:sz w:val="22"/>
                <w:szCs w:val="22"/>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Letter of Credit Fees</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100" w:type="dxa"/>
            <w:vAlign w:val="bottom"/>
          </w:tcPr>
          <w:p>
            <w:pPr>
              <w:spacing w:after="0"/>
              <w:rPr>
                <w:sz w:val="22"/>
                <w:szCs w:val="22"/>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Commitment Fee Rate</w:t>
            </w:r>
          </w:p>
        </w:tc>
      </w:tr>
      <w:tr>
        <w:trPr>
          <w:trHeight w:val="200"/>
        </w:trPr>
        <w:tc>
          <w:tcPr>
            <w:tcW w:w="16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1</w:t>
            </w:r>
          </w:p>
        </w:tc>
        <w:tc>
          <w:tcPr>
            <w:tcW w:w="120" w:type="dxa"/>
            <w:vAlign w:val="bottom"/>
          </w:tcPr>
          <w:p>
            <w:pPr>
              <w:spacing w:after="0"/>
              <w:rPr>
                <w:sz w:val="17"/>
                <w:szCs w:val="17"/>
                <w:color w:val="auto"/>
              </w:rPr>
            </w:pPr>
          </w:p>
        </w:tc>
        <w:tc>
          <w:tcPr>
            <w:tcW w:w="18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 3.00:1.00</w:t>
            </w:r>
          </w:p>
        </w:tc>
        <w:tc>
          <w:tcPr>
            <w:tcW w:w="100" w:type="dxa"/>
            <w:vAlign w:val="bottom"/>
          </w:tcPr>
          <w:p>
            <w:pPr>
              <w:spacing w:after="0"/>
              <w:rPr>
                <w:sz w:val="17"/>
                <w:szCs w:val="17"/>
                <w:color w:val="auto"/>
              </w:rPr>
            </w:pPr>
          </w:p>
        </w:tc>
        <w:tc>
          <w:tcPr>
            <w:tcW w:w="23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3.00%</w:t>
            </w:r>
          </w:p>
        </w:tc>
        <w:tc>
          <w:tcPr>
            <w:tcW w:w="10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2.00%</w:t>
            </w:r>
          </w:p>
        </w:tc>
        <w:tc>
          <w:tcPr>
            <w:tcW w:w="100" w:type="dxa"/>
            <w:vAlign w:val="bottom"/>
          </w:tcPr>
          <w:p>
            <w:pPr>
              <w:spacing w:after="0"/>
              <w:rPr>
                <w:sz w:val="17"/>
                <w:szCs w:val="17"/>
                <w:color w:val="auto"/>
              </w:rPr>
            </w:pPr>
          </w:p>
        </w:tc>
        <w:tc>
          <w:tcPr>
            <w:tcW w:w="25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0.450%</w:t>
            </w: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&lt; 3.00:1.00 and ≥</w:t>
            </w:r>
          </w:p>
        </w:tc>
        <w:tc>
          <w:tcPr>
            <w:tcW w:w="24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2.75%</w:t>
            </w:r>
          </w:p>
        </w:tc>
        <w:tc>
          <w:tcPr>
            <w:tcW w:w="15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1.75%</w:t>
            </w:r>
          </w:p>
        </w:tc>
        <w:tc>
          <w:tcPr>
            <w:tcW w:w="26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7"/>
              </w:rPr>
              <w:t>0.400%</w:t>
            </w:r>
          </w:p>
        </w:tc>
      </w:tr>
      <w:tr>
        <w:trPr>
          <w:trHeight w:val="229"/>
        </w:trPr>
        <w:tc>
          <w:tcPr>
            <w:tcW w:w="1620" w:type="dxa"/>
            <w:vAlign w:val="bottom"/>
          </w:tcPr>
          <w:p>
            <w:pPr>
              <w:spacing w:after="0"/>
              <w:rPr>
                <w:sz w:val="19"/>
                <w:szCs w:val="19"/>
                <w:color w:val="auto"/>
              </w:rPr>
            </w:pPr>
          </w:p>
        </w:tc>
        <w:tc>
          <w:tcPr>
            <w:tcW w:w="1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2.50:1.00</w:t>
            </w: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&lt; 2.50:1.00 and ≥</w:t>
            </w:r>
          </w:p>
        </w:tc>
        <w:tc>
          <w:tcPr>
            <w:tcW w:w="24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2.50%</w:t>
            </w:r>
          </w:p>
        </w:tc>
        <w:tc>
          <w:tcPr>
            <w:tcW w:w="15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1.50%</w:t>
            </w:r>
          </w:p>
        </w:tc>
        <w:tc>
          <w:tcPr>
            <w:tcW w:w="26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7"/>
              </w:rPr>
              <w:t>0.350%</w:t>
            </w:r>
          </w:p>
        </w:tc>
      </w:tr>
      <w:tr>
        <w:trPr>
          <w:trHeight w:val="229"/>
        </w:trPr>
        <w:tc>
          <w:tcPr>
            <w:tcW w:w="1620" w:type="dxa"/>
            <w:vAlign w:val="bottom"/>
          </w:tcPr>
          <w:p>
            <w:pPr>
              <w:spacing w:after="0"/>
              <w:rPr>
                <w:sz w:val="19"/>
                <w:szCs w:val="19"/>
                <w:color w:val="auto"/>
              </w:rPr>
            </w:pPr>
          </w:p>
        </w:tc>
        <w:tc>
          <w:tcPr>
            <w:tcW w:w="1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2.00:1.00</w:t>
            </w: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&lt; 2.00:1.00 and ≥</w:t>
            </w:r>
          </w:p>
        </w:tc>
        <w:tc>
          <w:tcPr>
            <w:tcW w:w="24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2.25%</w:t>
            </w:r>
          </w:p>
        </w:tc>
        <w:tc>
          <w:tcPr>
            <w:tcW w:w="15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1.25%</w:t>
            </w:r>
          </w:p>
        </w:tc>
        <w:tc>
          <w:tcPr>
            <w:tcW w:w="26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7"/>
              </w:rPr>
              <w:t>0.300%</w:t>
            </w:r>
          </w:p>
        </w:tc>
      </w:tr>
      <w:tr>
        <w:trPr>
          <w:trHeight w:val="229"/>
        </w:trPr>
        <w:tc>
          <w:tcPr>
            <w:tcW w:w="1620" w:type="dxa"/>
            <w:vAlign w:val="bottom"/>
          </w:tcPr>
          <w:p>
            <w:pPr>
              <w:spacing w:after="0"/>
              <w:rPr>
                <w:sz w:val="19"/>
                <w:szCs w:val="19"/>
                <w:color w:val="auto"/>
              </w:rPr>
            </w:pPr>
          </w:p>
        </w:tc>
        <w:tc>
          <w:tcPr>
            <w:tcW w:w="1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1.50:1.00</w:t>
            </w: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58"/>
        </w:trPr>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1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&lt; 1.50:1.00</w:t>
            </w:r>
          </w:p>
        </w:tc>
        <w:tc>
          <w:tcPr>
            <w:tcW w:w="24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2.00%</w:t>
            </w:r>
          </w:p>
        </w:tc>
        <w:tc>
          <w:tcPr>
            <w:tcW w:w="15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1.00%</w:t>
            </w:r>
          </w:p>
        </w:tc>
        <w:tc>
          <w:tcPr>
            <w:tcW w:w="26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7"/>
              </w:rPr>
              <w:t>0.250%</w:t>
            </w:r>
          </w:p>
        </w:tc>
      </w:tr>
    </w:tbl>
    <w:p>
      <w:pPr>
        <w:spacing w:after="0" w:line="200" w:lineRule="exact"/>
        <w:rPr>
          <w:sz w:val="20"/>
          <w:szCs w:val="20"/>
          <w:color w:val="auto"/>
        </w:rPr>
      </w:pPr>
    </w:p>
    <w:p>
      <w:pPr>
        <w:spacing w:after="0" w:line="217" w:lineRule="exact"/>
        <w:rPr>
          <w:sz w:val="20"/>
          <w:szCs w:val="20"/>
          <w:color w:val="auto"/>
        </w:rPr>
      </w:pPr>
    </w:p>
    <w:p>
      <w:pPr>
        <w:ind w:right="60" w:firstLine="1497"/>
        <w:spacing w:after="0" w:line="241"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Total Net Leverage Ratio shall become effective as of the third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at the option of the Required Facility Lenders with respect to any Facility, “Pricing Level 1” (as set forth above) shall apply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the third Business Day after the date on which a Compliance Certificate was required to have been delivered but was not delivered, and shall continue to so apply to and including the date on which such Compliance Certificate is so delivered (and thereafter the pricing level otherwise determined in accordance with this definition shall apply). At any time prior to the satisfaction of the Termination Conditions, in the event that the Borrower determines that any financial statements previously delivered to the Administrative Agent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6.01(2)</w:t>
      </w:r>
      <w:r>
        <w:rPr>
          <w:rFonts w:ascii="Times New Roman" w:cs="Times New Roman" w:eastAsia="Times New Roman" w:hAnsi="Times New Roman"/>
          <w:sz w:val="20"/>
          <w:szCs w:val="20"/>
          <w:color w:val="auto"/>
        </w:rPr>
        <w:t xml:space="preserve"> were incorrect or inaccurate, and such inaccuracy, if corrected, would have led to the application of a different Applicable Rate for the Term Loans, the Revolving Loans or the Swing Line Loans for any period (an “</w:t>
      </w:r>
      <w:r>
        <w:rPr>
          <w:rFonts w:ascii="Times New Roman" w:cs="Times New Roman" w:eastAsia="Times New Roman" w:hAnsi="Times New Roman"/>
          <w:sz w:val="20"/>
          <w:szCs w:val="20"/>
          <w:b w:val="1"/>
          <w:bCs w:val="1"/>
          <w:color w:val="auto"/>
        </w:rPr>
        <w:t>Applicable Period</w:t>
      </w:r>
      <w:r>
        <w:rPr>
          <w:rFonts w:ascii="Times New Roman" w:cs="Times New Roman" w:eastAsia="Times New Roman" w:hAnsi="Times New Roman"/>
          <w:sz w:val="20"/>
          <w:szCs w:val="20"/>
          <w:color w:val="auto"/>
        </w:rPr>
        <w:t>”) than the Applicable Rate applied for such Applicable Period, (A) the Borrower shall promptly deliver to the Administrative Agent the correct financial statements for such Applicable Period, (B) the Applicable Rate for the Term Loans, the Revolving Loans or the Swing Line Loans shall be determined based on the corrected financial statements for such Applicable Period, and (C) if, as a consequence thereof, the Applicable Rate was lower in the incorrect or inaccurate financial statements than it would have been had such financial statements been correct or accurate, the Borrower shall promptly pay to the Administrative Agent for the benefit of the Lenders at such time the difference between the amount that would have been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01" w:name="page102"/>
    <w:bookmarkEnd w:id="101"/>
    <w:p>
      <w:pPr>
        <w:spacing w:after="0" w:line="243" w:lineRule="auto"/>
        <w:rPr>
          <w:sz w:val="20"/>
          <w:szCs w:val="20"/>
          <w:color w:val="auto"/>
        </w:rPr>
      </w:pPr>
      <w:r>
        <w:rPr>
          <w:rFonts w:ascii="Times New Roman" w:cs="Times New Roman" w:eastAsia="Times New Roman" w:hAnsi="Times New Roman"/>
          <w:sz w:val="20"/>
          <w:szCs w:val="20"/>
          <w:color w:val="auto"/>
        </w:rPr>
        <w:t xml:space="preserve">due and the amount actually paid in respect of such Applicable Period, net of any amount of overpayment made in any prior period due to the delivery of incorrect or inaccurate financial statements pursuant to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6.01(2)</w:t>
      </w:r>
      <w:r>
        <w:rPr>
          <w:rFonts w:ascii="Times New Roman" w:cs="Times New Roman" w:eastAsia="Times New Roman" w:hAnsi="Times New Roman"/>
          <w:sz w:val="20"/>
          <w:szCs w:val="20"/>
          <w:color w:val="auto"/>
        </w:rPr>
        <w:t xml:space="preserve"> (provided, that no Default or Event of Default shall be deemed to have occurred as a result of such non-payment (and no such shortfall amount shall be deemed overdue or accrue interest at the default rate) unless such shortfall amount is not paid on or prior to the tenth (10th) Business Day following written demand for such payment by the Administrative Agent to the Borrower (or such later date as may be agreed by the Administrative Agent), which payment shall be promptly applied by the Administrative Agent in accordance with this Agreement. For the avoidance of doubt, no amounts shall be due or payable pursuant to the immediately preceding sentence from and after the date on which the Termination Conditions are satisfied.</w:t>
      </w:r>
    </w:p>
    <w:p>
      <w:pPr>
        <w:spacing w:after="0" w:line="185" w:lineRule="exact"/>
        <w:rPr>
          <w:sz w:val="20"/>
          <w:szCs w:val="20"/>
          <w:color w:val="auto"/>
        </w:rPr>
      </w:pPr>
    </w:p>
    <w:p>
      <w:pPr>
        <w:jc w:val="both"/>
        <w:ind w:right="32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Appropriate Lender</w:t>
      </w:r>
      <w:r>
        <w:rPr>
          <w:rFonts w:ascii="Times New Roman" w:cs="Times New Roman" w:eastAsia="Times New Roman" w:hAnsi="Times New Roman"/>
          <w:sz w:val="20"/>
          <w:szCs w:val="20"/>
          <w:color w:val="auto"/>
        </w:rPr>
        <w:t xml:space="preserve">” means, at any time, (1) with respect to Loans of any Class, the Lenders of such Class, (2) with respect to Letters of Credit, (a) the relevant Issuing Banks and (b) the relevant Revolving Lenders and (3) with respect to the Swing Line Facility, (x) the relevant Swing Line Lender and (y) if any Swing Line Loans are outstanding pursuant to </w:t>
      </w:r>
      <w:r>
        <w:rPr>
          <w:rFonts w:ascii="Times New Roman" w:cs="Times New Roman" w:eastAsia="Times New Roman" w:hAnsi="Times New Roman"/>
          <w:sz w:val="20"/>
          <w:szCs w:val="20"/>
          <w:u w:val="single" w:color="auto"/>
          <w:color w:val="auto"/>
        </w:rPr>
        <w:t>Section 2.04(1)</w:t>
      </w:r>
      <w:r>
        <w:rPr>
          <w:rFonts w:ascii="Times New Roman" w:cs="Times New Roman" w:eastAsia="Times New Roman" w:hAnsi="Times New Roman"/>
          <w:sz w:val="20"/>
          <w:szCs w:val="20"/>
          <w:color w:val="auto"/>
        </w:rPr>
        <w:t>, the Revolving Lenders.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Bank</w:t>
      </w:r>
      <w:r>
        <w:rPr>
          <w:rFonts w:ascii="Times New Roman" w:cs="Times New Roman" w:eastAsia="Times New Roman" w:hAnsi="Times New Roman"/>
          <w:sz w:val="20"/>
          <w:szCs w:val="20"/>
          <w:color w:val="auto"/>
        </w:rPr>
        <w:t>” has the meaning specified in clause (4) of the definition of “Cash Equivalents.”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Commercial Bank</w:t>
      </w:r>
      <w:r>
        <w:rPr>
          <w:rFonts w:ascii="Times New Roman" w:cs="Times New Roman" w:eastAsia="Times New Roman" w:hAnsi="Times New Roman"/>
          <w:sz w:val="20"/>
          <w:szCs w:val="20"/>
          <w:color w:val="auto"/>
        </w:rPr>
        <w:t>” means a commercial bank with a consolidated combined capital and surplus of at least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$5,000,000,000.</w:t>
      </w:r>
    </w:p>
    <w:p>
      <w:pPr>
        <w:spacing w:after="0" w:line="190" w:lineRule="exact"/>
        <w:rPr>
          <w:sz w:val="20"/>
          <w:szCs w:val="20"/>
          <w:color w:val="auto"/>
        </w:rPr>
      </w:pPr>
    </w:p>
    <w:p>
      <w:pPr>
        <w:ind w:right="36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Approved Fund</w:t>
      </w:r>
      <w:r>
        <w:rPr>
          <w:rFonts w:ascii="Times New Roman" w:cs="Times New Roman" w:eastAsia="Times New Roman" w:hAnsi="Times New Roman"/>
          <w:sz w:val="19"/>
          <w:szCs w:val="19"/>
          <w:color w:val="auto"/>
        </w:rPr>
        <w:t>” means, with respect to any Lender, any Fund that is administered, advised or managed by (1) such Lender, (2) an Affiliate of such Lender or (3) an entity or an Affiliate of an entity that administers, advises or manages such Lender.</w:t>
      </w:r>
    </w:p>
    <w:p>
      <w:pPr>
        <w:spacing w:after="0" w:line="129" w:lineRule="exact"/>
        <w:rPr>
          <w:sz w:val="20"/>
          <w:szCs w:val="20"/>
          <w:color w:val="auto"/>
        </w:rPr>
      </w:pPr>
    </w:p>
    <w:p>
      <w:pPr>
        <w:ind w:right="7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Arrangers</w:t>
      </w:r>
      <w:r>
        <w:rPr>
          <w:rFonts w:ascii="Times New Roman" w:cs="Times New Roman" w:eastAsia="Times New Roman" w:hAnsi="Times New Roman"/>
          <w:sz w:val="20"/>
          <w:szCs w:val="20"/>
          <w:color w:val="auto"/>
        </w:rPr>
        <w:t>” means Capital One and TPG Capital BD, LLC, each in its capacity as a joint lead arranger and joint bookrunner under this Agreement.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Sale</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60" w:right="20" w:firstLine="745"/>
        <w:spacing w:after="0" w:line="269" w:lineRule="auto"/>
        <w:tabs>
          <w:tab w:leader="none" w:pos="19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conveyance, transfer or other disposition, whether in a single transaction or a series of related transactions of property or assets of the Borrower or any Restricted Subsidiary (each referred to in this definition as a “</w:t>
      </w:r>
      <w:r>
        <w:rPr>
          <w:rFonts w:ascii="Times New Roman" w:cs="Times New Roman" w:eastAsia="Times New Roman" w:hAnsi="Times New Roman"/>
          <w:sz w:val="20"/>
          <w:szCs w:val="20"/>
          <w:b w:val="1"/>
          <w:bCs w:val="1"/>
          <w:color w:val="auto"/>
        </w:rPr>
        <w:t>disposition</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ind w:left="760" w:right="40" w:firstLine="745"/>
        <w:spacing w:after="0" w:line="249" w:lineRule="auto"/>
        <w:tabs>
          <w:tab w:leader="none" w:pos="19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issuance or sale of Equity Interests (other than Preferred Stock or Disqualified Stock of Restricted Subsidiaries issued in compliance with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directors’ qualifying shares or shares or interests required to be held by foreign nationals or other third parties to the extent required by applicable Law) of any Restricted Subsidiary (other than to the Borrower or another Restricted Subsidiary), whether in a single transaction or a series of related transactions;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each case, other than:</w:t>
      </w:r>
    </w:p>
    <w:p>
      <w:pPr>
        <w:spacing w:after="0" w:line="216" w:lineRule="exact"/>
        <w:rPr>
          <w:sz w:val="20"/>
          <w:szCs w:val="20"/>
          <w:color w:val="auto"/>
        </w:rPr>
      </w:pPr>
    </w:p>
    <w:p>
      <w:pPr>
        <w:ind w:left="2640" w:hanging="386"/>
        <w:spacing w:after="0"/>
        <w:tabs>
          <w:tab w:leader="none" w:pos="2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w:t>
      </w:r>
    </w:p>
    <w:p>
      <w:pPr>
        <w:spacing w:after="0" w:line="215" w:lineRule="exact"/>
        <w:rPr>
          <w:rFonts w:ascii="Times New Roman" w:cs="Times New Roman" w:eastAsia="Times New Roman" w:hAnsi="Times New Roman"/>
          <w:sz w:val="20"/>
          <w:szCs w:val="20"/>
          <w:color w:val="auto"/>
        </w:rPr>
      </w:pPr>
    </w:p>
    <w:p>
      <w:pPr>
        <w:ind w:left="3440" w:hanging="394"/>
        <w:spacing w:after="0"/>
        <w:tabs>
          <w:tab w:leader="none" w:pos="3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Equivalents or Investment Grade Securities,</w:t>
      </w:r>
    </w:p>
    <w:p>
      <w:pPr>
        <w:spacing w:after="0" w:line="215" w:lineRule="exact"/>
        <w:rPr>
          <w:rFonts w:ascii="Times New Roman" w:cs="Times New Roman" w:eastAsia="Times New Roman" w:hAnsi="Times New Roman"/>
          <w:sz w:val="20"/>
          <w:szCs w:val="20"/>
          <w:color w:val="auto"/>
        </w:rPr>
      </w:pPr>
    </w:p>
    <w:p>
      <w:pPr>
        <w:ind w:left="2260" w:right="440" w:firstLine="786"/>
        <w:spacing w:after="0" w:line="269" w:lineRule="auto"/>
        <w:tabs>
          <w:tab w:leader="none" w:pos="3447"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obsolete, damaged or worn out property or assets, any disposition of property or assets in the ordinary course of business, any</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2" w:name="page103"/>
    <w:bookmarkEnd w:id="102"/>
    <w:p>
      <w:pPr>
        <w:ind w:left="1140" w:right="440"/>
        <w:spacing w:after="0" w:line="274" w:lineRule="auto"/>
        <w:rPr>
          <w:sz w:val="20"/>
          <w:szCs w:val="20"/>
          <w:color w:val="auto"/>
        </w:rPr>
      </w:pPr>
      <w:r>
        <w:rPr>
          <w:rFonts w:ascii="Times New Roman" w:cs="Times New Roman" w:eastAsia="Times New Roman" w:hAnsi="Times New Roman"/>
          <w:sz w:val="19"/>
          <w:szCs w:val="19"/>
          <w:color w:val="auto"/>
        </w:rPr>
        <w:t>disposition of inventory or goods (or other assets) held for sale and any disposition of immaterial assets or property or property or assets no longer used or useful in the ordinary course or the principal business of the Borrower and its Restricted Subsidiaries (as determined in good faith by the management of the Borrower),</w:t>
      </w:r>
    </w:p>
    <w:p>
      <w:pPr>
        <w:spacing w:after="0" w:line="156" w:lineRule="exact"/>
        <w:rPr>
          <w:sz w:val="20"/>
          <w:szCs w:val="20"/>
          <w:color w:val="auto"/>
        </w:rPr>
      </w:pPr>
    </w:p>
    <w:p>
      <w:pPr>
        <w:ind w:left="1140" w:right="100" w:firstLine="786"/>
        <w:spacing w:after="0" w:line="269" w:lineRule="auto"/>
        <w:tabs>
          <w:tab w:leader="none" w:pos="2327"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no longer economically practicable or commercially reasonable to maintain (as determined in good faith by the management of the Borrower),</w:t>
      </w:r>
    </w:p>
    <w:p>
      <w:pPr>
        <w:spacing w:after="0" w:line="159" w:lineRule="exact"/>
        <w:rPr>
          <w:rFonts w:ascii="Times New Roman" w:cs="Times New Roman" w:eastAsia="Times New Roman" w:hAnsi="Times New Roman"/>
          <w:sz w:val="20"/>
          <w:szCs w:val="20"/>
          <w:color w:val="auto"/>
        </w:rPr>
      </w:pPr>
    </w:p>
    <w:p>
      <w:pPr>
        <w:ind w:left="1140" w:right="360" w:firstLine="786"/>
        <w:spacing w:after="0" w:line="269" w:lineRule="auto"/>
        <w:tabs>
          <w:tab w:leader="none" w:pos="2327"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improvements made to leased real property to landlords pursuant to customary terms of leases entered into in the ordinary course of business or consistent with industry practice, and</w:t>
      </w:r>
    </w:p>
    <w:p>
      <w:pPr>
        <w:spacing w:after="0" w:line="159" w:lineRule="exact"/>
        <w:rPr>
          <w:rFonts w:ascii="Times New Roman" w:cs="Times New Roman" w:eastAsia="Times New Roman" w:hAnsi="Times New Roman"/>
          <w:sz w:val="20"/>
          <w:szCs w:val="20"/>
          <w:color w:val="auto"/>
        </w:rPr>
      </w:pPr>
    </w:p>
    <w:p>
      <w:pPr>
        <w:ind w:left="1140" w:right="40" w:firstLine="786"/>
        <w:spacing w:after="0" w:line="254" w:lineRule="auto"/>
        <w:tabs>
          <w:tab w:leader="none" w:pos="2327"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for purposes of charitable contributions or similar gifts to the extent such assets are not material to the ability of the Borrower and its Restricted Subsidiaries, taken as a whole, to conduct its business in the ordinary course;</w:t>
      </w:r>
    </w:p>
    <w:p>
      <w:pPr>
        <w:spacing w:after="0" w:line="174" w:lineRule="exact"/>
        <w:rPr>
          <w:rFonts w:ascii="Times New Roman" w:cs="Times New Roman" w:eastAsia="Times New Roman" w:hAnsi="Times New Roman"/>
          <w:sz w:val="20"/>
          <w:szCs w:val="20"/>
          <w:color w:val="auto"/>
        </w:rPr>
      </w:pPr>
    </w:p>
    <w:p>
      <w:pPr>
        <w:ind w:left="380" w:right="580" w:firstLine="754"/>
        <w:spacing w:after="0" w:line="269" w:lineRule="auto"/>
        <w:tabs>
          <w:tab w:leader="none" w:pos="152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disposition of assets of the Borrower in a manner permitted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(other than a transaction described in </w:t>
      </w:r>
      <w:r>
        <w:rPr>
          <w:rFonts w:ascii="Times New Roman" w:cs="Times New Roman" w:eastAsia="Times New Roman" w:hAnsi="Times New Roman"/>
          <w:sz w:val="20"/>
          <w:szCs w:val="20"/>
          <w:u w:val="single" w:color="auto"/>
          <w:color w:val="auto"/>
        </w:rPr>
        <w:t>clause (7)</w:t>
      </w:r>
      <w:r>
        <w:rPr>
          <w:rFonts w:ascii="Times New Roman" w:cs="Times New Roman" w:eastAsia="Times New Roman" w:hAnsi="Times New Roman"/>
          <w:sz w:val="20"/>
          <w:szCs w:val="20"/>
          <w:color w:val="auto"/>
        </w:rPr>
        <w:t xml:space="preserve"> of Section 7.03 by reference to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80" w:right="140" w:firstLine="754"/>
        <w:spacing w:after="0" w:line="295" w:lineRule="auto"/>
        <w:tabs>
          <w:tab w:leader="none" w:pos="1524"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disposition in connection with the making of any Restricted Payment that is permitted to be made, and is made, under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 any Permitted Investment or any acquisition otherwise permitted under this Agreement;</w:t>
      </w:r>
    </w:p>
    <w:p>
      <w:pPr>
        <w:spacing w:after="0" w:line="137" w:lineRule="exact"/>
        <w:rPr>
          <w:rFonts w:ascii="Times New Roman" w:cs="Times New Roman" w:eastAsia="Times New Roman" w:hAnsi="Times New Roman"/>
          <w:sz w:val="19"/>
          <w:szCs w:val="19"/>
          <w:color w:val="auto"/>
        </w:rPr>
      </w:pPr>
    </w:p>
    <w:p>
      <w:pPr>
        <w:ind w:left="380" w:right="20" w:firstLine="754"/>
        <w:spacing w:after="0" w:line="264" w:lineRule="auto"/>
        <w:tabs>
          <w:tab w:leader="none" w:pos="1524"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of property or assets or issuance or sale of Equity Interests of any Restricted Subsidiary with an aggregate fair market value for any individual transaction or series of related transactions not to exceed the greater of</w:t>
      </w:r>
    </w:p>
    <w:p>
      <w:pPr>
        <w:ind w:left="380" w:right="40" w:firstLine="5"/>
        <w:spacing w:after="0" w:line="246" w:lineRule="auto"/>
        <w:tabs>
          <w:tab w:leader="none" w:pos="61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$5,500,000 and (ii) 5.0% of Consolidated EBITDA of the Borrower for the most recently ended Test Period (calculated on a pro forma basis) determined at the time of the making of such disposition;</w:t>
      </w:r>
    </w:p>
    <w:p>
      <w:pPr>
        <w:spacing w:after="0" w:line="181" w:lineRule="exact"/>
        <w:rPr>
          <w:rFonts w:ascii="Times New Roman" w:cs="Times New Roman" w:eastAsia="Times New Roman" w:hAnsi="Times New Roman"/>
          <w:sz w:val="20"/>
          <w:szCs w:val="20"/>
          <w:color w:val="auto"/>
        </w:rPr>
      </w:pPr>
    </w:p>
    <w:p>
      <w:pPr>
        <w:ind w:left="380" w:right="140" w:firstLine="754"/>
        <w:spacing w:after="0" w:line="254" w:lineRule="auto"/>
        <w:tabs>
          <w:tab w:leader="none" w:pos="152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disposition of property or assets or issuance of securities by a Restricted Subsidiary to the Borrower or by the Borrower or a Restricted Subsidiary to a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disposition or issuance by any Loan Party to any Restricted Subsidiary that is not a Loan Party shall otherwise be permitted by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380" w:right="140" w:firstLine="754"/>
        <w:spacing w:after="0" w:line="269" w:lineRule="auto"/>
        <w:tabs>
          <w:tab w:leader="none" w:pos="152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allowable under Section 1031 of the Code, any exchange of like property (excluding any boot thereon) for use in a Similar Business;</w:t>
      </w:r>
    </w:p>
    <w:p>
      <w:pPr>
        <w:spacing w:after="0" w:line="159" w:lineRule="exact"/>
        <w:rPr>
          <w:rFonts w:ascii="Times New Roman" w:cs="Times New Roman" w:eastAsia="Times New Roman" w:hAnsi="Times New Roman"/>
          <w:sz w:val="20"/>
          <w:szCs w:val="20"/>
          <w:color w:val="auto"/>
        </w:rPr>
      </w:pPr>
    </w:p>
    <w:p>
      <w:pPr>
        <w:ind w:left="380" w:firstLine="754"/>
        <w:spacing w:after="0" w:line="274" w:lineRule="auto"/>
        <w:tabs>
          <w:tab w:leader="none" w:pos="1524"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lease, assignment or sublease, license or sublicense of any real or personal property (other than exclusive licensing of Material Intellectual Property) in the ordinary course of business or consistent with industry practice and (ii) the exercise of termination rights with respect to any lease, sublease, license or sublicense or other agreement;</w:t>
      </w:r>
    </w:p>
    <w:p>
      <w:pPr>
        <w:spacing w:after="0" w:line="156" w:lineRule="exact"/>
        <w:rPr>
          <w:rFonts w:ascii="Times New Roman" w:cs="Times New Roman" w:eastAsia="Times New Roman" w:hAnsi="Times New Roman"/>
          <w:sz w:val="19"/>
          <w:szCs w:val="19"/>
          <w:color w:val="auto"/>
        </w:rPr>
      </w:pPr>
    </w:p>
    <w:p>
      <w:pPr>
        <w:ind w:left="380" w:right="460" w:firstLine="754"/>
        <w:spacing w:after="0" w:line="269" w:lineRule="auto"/>
        <w:tabs>
          <w:tab w:leader="none" w:pos="152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disposition or sale of Equity Interests in, or Indebtedness, assets or other securities of, an Unrestricted Subsidiary;</w:t>
      </w:r>
    </w:p>
    <w:p>
      <w:pPr>
        <w:spacing w:after="0" w:line="3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3" w:name="page104"/>
    <w:bookmarkEnd w:id="103"/>
    <w:p>
      <w:pPr>
        <w:ind w:left="380" w:right="740" w:firstLine="754"/>
        <w:spacing w:after="0" w:line="269" w:lineRule="auto"/>
        <w:tabs>
          <w:tab w:leader="none" w:pos="15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foreclosures, condemnation, expropriation, eminent domain or any similar action (including for the avoidance of doubt, any Casualty Event) with respect to assets;</w:t>
      </w:r>
    </w:p>
    <w:p>
      <w:pPr>
        <w:spacing w:after="0" w:line="159" w:lineRule="exact"/>
        <w:rPr>
          <w:rFonts w:ascii="Times New Roman" w:cs="Times New Roman" w:eastAsia="Times New Roman" w:hAnsi="Times New Roman"/>
          <w:sz w:val="20"/>
          <w:szCs w:val="20"/>
          <w:color w:val="auto"/>
        </w:rPr>
      </w:pPr>
    </w:p>
    <w:p>
      <w:pPr>
        <w:ind w:left="380" w:right="160" w:firstLine="754"/>
        <w:spacing w:after="0" w:line="246" w:lineRule="auto"/>
        <w:tabs>
          <w:tab w:leader="none" w:pos="15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accounts receivable, or participations therein, or Securitization Assets or related assets in connection with any Qualified Securitization Facility, sales of receivables in connection with Receivables Financing Transactions, sales pursuant to non-recourse factoring arrangements in the ordinary course of business, or the disposition of an account receivable in connection with the collection or compromise thereof in the ordinary course of business or consistent with industry practice or in bankruptcy or similar proceedings;</w:t>
      </w:r>
    </w:p>
    <w:p>
      <w:pPr>
        <w:spacing w:after="0" w:line="184" w:lineRule="exact"/>
        <w:rPr>
          <w:rFonts w:ascii="Times New Roman" w:cs="Times New Roman" w:eastAsia="Times New Roman" w:hAnsi="Times New Roman"/>
          <w:sz w:val="20"/>
          <w:szCs w:val="20"/>
          <w:color w:val="auto"/>
        </w:rPr>
      </w:pPr>
    </w:p>
    <w:p>
      <w:pPr>
        <w:ind w:left="380" w:right="560" w:firstLine="754"/>
        <w:spacing w:after="0" w:line="269" w:lineRule="auto"/>
        <w:tabs>
          <w:tab w:leader="none" w:pos="15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financing transaction with respect to property built or acquired by the Borrower or any Restricted Subsidiary after the Closing Date, including asset securitizations permitted hereunder;</w:t>
      </w:r>
    </w:p>
    <w:p>
      <w:pPr>
        <w:spacing w:after="0" w:line="159" w:lineRule="exact"/>
        <w:rPr>
          <w:rFonts w:ascii="Times New Roman" w:cs="Times New Roman" w:eastAsia="Times New Roman" w:hAnsi="Times New Roman"/>
          <w:sz w:val="20"/>
          <w:szCs w:val="20"/>
          <w:color w:val="auto"/>
        </w:rPr>
      </w:pPr>
    </w:p>
    <w:p>
      <w:pPr>
        <w:ind w:left="380" w:firstLine="754"/>
        <w:spacing w:after="0" w:line="249" w:lineRule="auto"/>
        <w:tabs>
          <w:tab w:leader="none" w:pos="15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lease, assignment, license, sublicense, sublease or discount of inventory, equipment, accounts receivable, notes receivable or other current assets in the ordinary course of business or consistent with industry practice or the conversion of accounts receivable to notes receivable or other dispositions of accounts receivable in connection with the collection thereof;</w:t>
      </w:r>
    </w:p>
    <w:p>
      <w:pPr>
        <w:spacing w:after="0" w:line="179" w:lineRule="exact"/>
        <w:rPr>
          <w:rFonts w:ascii="Times New Roman" w:cs="Times New Roman" w:eastAsia="Times New Roman" w:hAnsi="Times New Roman"/>
          <w:sz w:val="20"/>
          <w:szCs w:val="20"/>
          <w:color w:val="auto"/>
        </w:rPr>
      </w:pPr>
    </w:p>
    <w:p>
      <w:pPr>
        <w:ind w:left="380" w:right="180" w:firstLine="754"/>
        <w:spacing w:after="0" w:line="246" w:lineRule="auto"/>
        <w:tabs>
          <w:tab w:leader="none" w:pos="15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licensing or sublicensing of IP Rights or other general intangibles in the ordinary course of business or consistent with industry practice; provided that any exclusive licensing of IP Rights by the Borrower or a Restricted Subsidiary shall not materially and adversely interfere with the business of the Borrower and its Restricted Subsidiaries (provided that this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shall not be deemed to permit the exclusive licensing of Material Intellectual Property to Persons that are Affiliates of the Borrower);</w:t>
      </w:r>
    </w:p>
    <w:p>
      <w:pPr>
        <w:spacing w:after="0" w:line="184" w:lineRule="exact"/>
        <w:rPr>
          <w:rFonts w:ascii="Times New Roman" w:cs="Times New Roman" w:eastAsia="Times New Roman" w:hAnsi="Times New Roman"/>
          <w:sz w:val="20"/>
          <w:szCs w:val="20"/>
          <w:color w:val="auto"/>
        </w:rPr>
      </w:pPr>
    </w:p>
    <w:p>
      <w:pPr>
        <w:ind w:left="380" w:right="200" w:firstLine="754"/>
        <w:spacing w:after="0" w:line="269" w:lineRule="auto"/>
        <w:tabs>
          <w:tab w:leader="none" w:pos="15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surrender or waiver of contract rights or the settlement, release or surrender of contract rights or other litigation claims in the ordinary course of business or consistent with industry practice;</w:t>
      </w:r>
    </w:p>
    <w:p>
      <w:pPr>
        <w:spacing w:after="0" w:line="159"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unwinding of any Hedging Obligations;</w:t>
      </w:r>
    </w:p>
    <w:p>
      <w:pPr>
        <w:spacing w:after="0" w:line="215" w:lineRule="exact"/>
        <w:rPr>
          <w:rFonts w:ascii="Times New Roman" w:cs="Times New Roman" w:eastAsia="Times New Roman" w:hAnsi="Times New Roman"/>
          <w:sz w:val="20"/>
          <w:szCs w:val="20"/>
          <w:color w:val="auto"/>
        </w:rPr>
      </w:pPr>
    </w:p>
    <w:p>
      <w:pPr>
        <w:ind w:left="380" w:right="100" w:firstLine="754"/>
        <w:spacing w:after="0" w:line="254" w:lineRule="auto"/>
        <w:tabs>
          <w:tab w:leader="none" w:pos="15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74" w:lineRule="exact"/>
        <w:rPr>
          <w:rFonts w:ascii="Times New Roman" w:cs="Times New Roman" w:eastAsia="Times New Roman" w:hAnsi="Times New Roman"/>
          <w:sz w:val="20"/>
          <w:szCs w:val="20"/>
          <w:color w:val="auto"/>
        </w:rPr>
      </w:pPr>
    </w:p>
    <w:p>
      <w:pPr>
        <w:ind w:left="380" w:right="200" w:firstLine="754"/>
        <w:spacing w:after="0" w:line="254" w:lineRule="auto"/>
        <w:tabs>
          <w:tab w:leader="none" w:pos="15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abandonment or other disposition of IP Rights in the ordinary course of business or consistent with industry practice, which in the reasonable good faith determination of the Borrower, are not material to the conduct of the business of the Borrower and its Restricted Subsidiaries taken as a whole;</w:t>
      </w:r>
    </w:p>
    <w:p>
      <w:pPr>
        <w:spacing w:after="0" w:line="174"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granting of a Lien that is permitted under </w:t>
      </w:r>
      <w:r>
        <w:rPr>
          <w:rFonts w:ascii="Times New Roman" w:cs="Times New Roman" w:eastAsia="Times New Roman" w:hAnsi="Times New Roman"/>
          <w:sz w:val="20"/>
          <w:szCs w:val="20"/>
          <w:u w:val="single" w:color="auto"/>
          <w:color w:val="auto"/>
        </w:rPr>
        <w:t>Section 7.01;</w:t>
      </w:r>
    </w:p>
    <w:p>
      <w:pPr>
        <w:spacing w:after="0" w:line="215" w:lineRule="exact"/>
        <w:rPr>
          <w:rFonts w:ascii="Times New Roman" w:cs="Times New Roman" w:eastAsia="Times New Roman" w:hAnsi="Times New Roman"/>
          <w:sz w:val="20"/>
          <w:szCs w:val="20"/>
          <w:color w:val="auto"/>
        </w:rPr>
      </w:pPr>
    </w:p>
    <w:p>
      <w:pPr>
        <w:ind w:left="380" w:right="220" w:firstLine="754"/>
        <w:spacing w:after="0" w:line="269" w:lineRule="auto"/>
        <w:tabs>
          <w:tab w:leader="none" w:pos="15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customary issuance of directors’ qualifying shares and shares of Capital Stock of Foreign Subsidiaries issued to foreign nationals as required by applicable Law;</w:t>
      </w:r>
    </w:p>
    <w:p>
      <w:pPr>
        <w:spacing w:after="0" w:line="3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4" w:name="page105"/>
    <w:bookmarkEnd w:id="104"/>
    <w:p>
      <w:pPr>
        <w:ind w:left="1500" w:firstLine="754"/>
        <w:spacing w:after="0" w:line="259" w:lineRule="auto"/>
        <w:tabs>
          <w:tab w:leader="none" w:pos="2644"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disposition of any assets (including Equity Interests) (i) acquired in a Permitted Acquisition or other Investment permitted hereunder, which assets are (x) not used or useful in the ordinary course or the principal business of the Borrower and its Restricted Subsidiaries or (y) non-core assets or assets that are surplus or unnecessary to the business or operations of the Borrower and its Restricted Subsidiaries (as determined by the Borrower in good faith);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dispositions pursuant to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shall be for fair market value (measured at the time of contractually agreeing to such disposition) or (ii) made in connection with the approval of any applicable antitrust authority or otherwise necessary or advisable in the good faith determination of the Borrower to consummate any acquisition permitted hereunder;</w:t>
      </w:r>
    </w:p>
    <w:p>
      <w:pPr>
        <w:spacing w:after="0" w:line="172" w:lineRule="exact"/>
        <w:rPr>
          <w:rFonts w:ascii="Times New Roman" w:cs="Times New Roman" w:eastAsia="Times New Roman" w:hAnsi="Times New Roman"/>
          <w:sz w:val="19"/>
          <w:szCs w:val="19"/>
          <w:color w:val="auto"/>
        </w:rPr>
      </w:pPr>
    </w:p>
    <w:p>
      <w:pPr>
        <w:ind w:left="1500" w:right="620" w:firstLine="754"/>
        <w:spacing w:after="0" w:line="269" w:lineRule="auto"/>
        <w:tabs>
          <w:tab w:leader="none" w:pos="26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to the extent that such property is promptly exchanged for credit against the purchase price of similar replacement property with a similar fair market value to the property so exchanged;</w:t>
      </w:r>
    </w:p>
    <w:p>
      <w:pPr>
        <w:spacing w:after="0" w:line="159" w:lineRule="exact"/>
        <w:rPr>
          <w:rFonts w:ascii="Times New Roman" w:cs="Times New Roman" w:eastAsia="Times New Roman" w:hAnsi="Times New Roman"/>
          <w:sz w:val="20"/>
          <w:szCs w:val="20"/>
          <w:color w:val="auto"/>
        </w:rPr>
      </w:pPr>
    </w:p>
    <w:p>
      <w:pPr>
        <w:ind w:left="1500" w:right="40" w:firstLine="754"/>
        <w:spacing w:after="0" w:line="254" w:lineRule="auto"/>
        <w:tabs>
          <w:tab w:leader="none" w:pos="26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for fair market value in connection with any Sale-Leaseback Transaction; provided that the aggregate fair market value of all dispositions permitted under this clause (v) after the Closing Date shall not exceed $22,500,000 in the aggregate;</w:t>
      </w:r>
    </w:p>
    <w:p>
      <w:pPr>
        <w:spacing w:after="0" w:line="174" w:lineRule="exact"/>
        <w:rPr>
          <w:rFonts w:ascii="Times New Roman" w:cs="Times New Roman" w:eastAsia="Times New Roman" w:hAnsi="Times New Roman"/>
          <w:sz w:val="20"/>
          <w:szCs w:val="20"/>
          <w:color w:val="auto"/>
        </w:rPr>
      </w:pPr>
    </w:p>
    <w:p>
      <w:pPr>
        <w:ind w:left="1500" w:right="260" w:firstLine="754"/>
        <w:spacing w:after="0" w:line="269" w:lineRule="auto"/>
        <w:tabs>
          <w:tab w:leader="none" w:pos="26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settlement or early termination of any Permitted Bond Hedge Transaction and the settlement or early termination of any related Permitted Warrant Transaction;</w:t>
      </w:r>
    </w:p>
    <w:p>
      <w:pPr>
        <w:spacing w:after="0" w:line="159" w:lineRule="exact"/>
        <w:rPr>
          <w:rFonts w:ascii="Times New Roman" w:cs="Times New Roman" w:eastAsia="Times New Roman" w:hAnsi="Times New Roman"/>
          <w:sz w:val="20"/>
          <w:szCs w:val="20"/>
          <w:color w:val="auto"/>
        </w:rPr>
      </w:pPr>
    </w:p>
    <w:p>
      <w:pPr>
        <w:ind w:left="1500" w:right="300" w:firstLine="754"/>
        <w:spacing w:after="0" w:line="269" w:lineRule="auto"/>
        <w:tabs>
          <w:tab w:leader="none" w:pos="26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acquired with Excluded Contributions (up to the aggregate amount of Excluded Contributions applied to fund the acquisition of such property);</w:t>
      </w:r>
    </w:p>
    <w:p>
      <w:pPr>
        <w:spacing w:after="0" w:line="159" w:lineRule="exact"/>
        <w:rPr>
          <w:rFonts w:ascii="Times New Roman" w:cs="Times New Roman" w:eastAsia="Times New Roman" w:hAnsi="Times New Roman"/>
          <w:sz w:val="20"/>
          <w:szCs w:val="20"/>
          <w:color w:val="auto"/>
        </w:rPr>
      </w:pPr>
    </w:p>
    <w:p>
      <w:pPr>
        <w:ind w:left="1500" w:firstLine="754"/>
        <w:spacing w:after="0" w:line="254" w:lineRule="auto"/>
        <w:tabs>
          <w:tab w:leader="none" w:pos="26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sales of property or assets for an aggregate fair market value since the Closing Date not to exceed the greater of (I) $27,000,000 and (II) 25% of Consolidated EBITDA of the Borrower for the most recently ended Test Period (calculated on a pro forma basis) determined at the time of the making of such disposition; and</w:t>
      </w:r>
    </w:p>
    <w:p>
      <w:pPr>
        <w:spacing w:after="0" w:line="17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6" w:lineRule="exact"/>
        <w:rPr>
          <w:sz w:val="20"/>
          <w:szCs w:val="20"/>
          <w:color w:val="auto"/>
        </w:rPr>
      </w:pPr>
    </w:p>
    <w:p>
      <w:pPr>
        <w:ind w:left="1500" w:right="340" w:firstLine="754"/>
        <w:spacing w:after="0" w:line="269" w:lineRule="auto"/>
        <w:tabs>
          <w:tab w:leader="none" w:pos="26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conversion of any Restricted Subsidiary into an Affiliated Practice in a manner permitted under this Agreement and subject to the requirements under the Loan Documents with respect to Affiliated Practices.</w:t>
      </w:r>
    </w:p>
    <w:p>
      <w:pPr>
        <w:spacing w:after="0" w:line="155" w:lineRule="exact"/>
        <w:rPr>
          <w:sz w:val="20"/>
          <w:szCs w:val="20"/>
          <w:color w:val="auto"/>
        </w:rPr>
      </w:pPr>
    </w:p>
    <w:p>
      <w:pPr>
        <w:ind w:right="3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Assignee Group</w:t>
      </w:r>
      <w:r>
        <w:rPr>
          <w:rFonts w:ascii="Times New Roman" w:cs="Times New Roman" w:eastAsia="Times New Roman" w:hAnsi="Times New Roman"/>
          <w:sz w:val="20"/>
          <w:szCs w:val="20"/>
          <w:color w:val="auto"/>
        </w:rPr>
        <w:t>” means two or more Eligible Assignees that are Affiliates of one another or two or more Approved Funds managed by the same investment advisor.</w:t>
      </w:r>
    </w:p>
    <w:p>
      <w:pPr>
        <w:spacing w:after="0" w:line="152" w:lineRule="exact"/>
        <w:rPr>
          <w:sz w:val="20"/>
          <w:szCs w:val="20"/>
          <w:color w:val="auto"/>
        </w:rPr>
      </w:pPr>
    </w:p>
    <w:p>
      <w:pPr>
        <w:ind w:right="2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xml:space="preserve">” means an Assignment and Assumption substantially in the form of </w:t>
      </w:r>
      <w:r>
        <w:rPr>
          <w:rFonts w:ascii="Times New Roman" w:cs="Times New Roman" w:eastAsia="Times New Roman" w:hAnsi="Times New Roman"/>
          <w:sz w:val="20"/>
          <w:szCs w:val="20"/>
          <w:u w:val="single" w:color="auto"/>
          <w:color w:val="auto"/>
        </w:rPr>
        <w:t>Exhibit D-1</w:t>
      </w:r>
      <w:r>
        <w:rPr>
          <w:rFonts w:ascii="Times New Roman" w:cs="Times New Roman" w:eastAsia="Times New Roman" w:hAnsi="Times New Roman"/>
          <w:sz w:val="20"/>
          <w:szCs w:val="20"/>
          <w:color w:val="auto"/>
        </w:rPr>
        <w:t xml:space="preserve"> or any other form approved by the Administrative Agent.</w:t>
      </w:r>
    </w:p>
    <w:p>
      <w:pPr>
        <w:spacing w:after="0" w:line="152" w:lineRule="exact"/>
        <w:rPr>
          <w:sz w:val="20"/>
          <w:szCs w:val="20"/>
          <w:color w:val="auto"/>
        </w:rPr>
      </w:pPr>
    </w:p>
    <w:p>
      <w:pPr>
        <w:ind w:right="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Attorney Costs</w:t>
      </w:r>
      <w:r>
        <w:rPr>
          <w:rFonts w:ascii="Times New Roman" w:cs="Times New Roman" w:eastAsia="Times New Roman" w:hAnsi="Times New Roman"/>
          <w:sz w:val="20"/>
          <w:szCs w:val="20"/>
          <w:color w:val="auto"/>
        </w:rPr>
        <w:t>” means all reasonable fees, expenses and disbursements of any law firm or other external legal counsel, to the extent documented in reasonable detail and invoiced.</w:t>
      </w:r>
    </w:p>
    <w:p>
      <w:pPr>
        <w:spacing w:after="0" w:line="152" w:lineRule="exact"/>
        <w:rPr>
          <w:sz w:val="20"/>
          <w:szCs w:val="20"/>
          <w:color w:val="auto"/>
        </w:rPr>
      </w:pPr>
    </w:p>
    <w:p>
      <w:pPr>
        <w:ind w:right="48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Attributable Indebtedness</w:t>
      </w:r>
      <w:r>
        <w:rPr>
          <w:rFonts w:ascii="Times New Roman" w:cs="Times New Roman" w:eastAsia="Times New Roman" w:hAnsi="Times New Roman"/>
          <w:sz w:val="19"/>
          <w:szCs w:val="19"/>
          <w:color w:val="auto"/>
        </w:rPr>
        <w:t>” means, on any date, in respect of any Capitalized Lease Obligation of any Person, the amount thereof that would appear as a liability on a balance sheet of such Person prepared as of such date in accordance with GAAP.</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05" w:name="page106"/>
    <w:bookmarkEnd w:id="105"/>
    <w:p>
      <w:pPr>
        <w:ind w:right="240" w:firstLine="1497"/>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Auction Agent</w:t>
      </w:r>
      <w:r>
        <w:rPr>
          <w:rFonts w:ascii="Times New Roman" w:cs="Times New Roman" w:eastAsia="Times New Roman" w:hAnsi="Times New Roman"/>
          <w:sz w:val="19"/>
          <w:szCs w:val="19"/>
          <w:color w:val="auto"/>
        </w:rPr>
        <w:t xml:space="preserve">” means (1) the Administrative Agent or (2) any other financial institution or advisor engaged by the Borrower (whether or not an Affiliate of the Administrative Agent) to act as an arranger in connection with any Discounted Term Loan Prepayment pursuant to </w:t>
      </w:r>
      <w:r>
        <w:rPr>
          <w:rFonts w:ascii="Times New Roman" w:cs="Times New Roman" w:eastAsia="Times New Roman" w:hAnsi="Times New Roman"/>
          <w:sz w:val="19"/>
          <w:szCs w:val="19"/>
          <w:u w:val="single" w:color="auto"/>
          <w:color w:val="auto"/>
        </w:rPr>
        <w:t>Section 2.05(1)(e)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neither the Borrower nor any of its Affiliates may act as the Auction Agent.</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Auto-Extension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Incremental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as applicable,</w:t>
      </w:r>
    </w:p>
    <w:p>
      <w:pPr>
        <w:spacing w:after="0" w:line="37" w:lineRule="exact"/>
        <w:rPr>
          <w:sz w:val="20"/>
          <w:szCs w:val="20"/>
          <w:color w:val="auto"/>
        </w:rPr>
      </w:pPr>
    </w:p>
    <w:p>
      <w:pPr>
        <w:ind w:right="120" w:firstLine="8"/>
        <w:spacing w:after="0" w:line="241" w:lineRule="auto"/>
        <w:tabs>
          <w:tab w:leader="none" w:pos="2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then-current Benchmark is a term rate, any tenor for such Benchmark that is or may be used for determining the length of an Interest Period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w:t>
      </w:r>
    </w:p>
    <w:p>
      <w:pPr>
        <w:spacing w:after="0" w:line="184" w:lineRule="exact"/>
        <w:rPr>
          <w:sz w:val="20"/>
          <w:szCs w:val="20"/>
          <w:color w:val="auto"/>
        </w:rPr>
      </w:pPr>
    </w:p>
    <w:p>
      <w:pPr>
        <w:ind w:right="5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by the applicable EEA Resolution Authority in respect of any liability of an Affected Financial Institution.</w:t>
      </w:r>
    </w:p>
    <w:p>
      <w:pPr>
        <w:spacing w:after="0" w:line="152"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w:t>
      </w:r>
      <w:r>
        <w:rPr>
          <w:rFonts w:ascii="Times New Roman" w:cs="Times New Roman" w:eastAsia="Times New Roman" w:hAnsi="Times New Roman"/>
          <w:sz w:val="20"/>
          <w:szCs w:val="20"/>
          <w:color w:val="auto"/>
        </w:rPr>
        <w:t>” means, for any day, a floating interest rate per annum equal to the highest of (a) the rate of interest from time to time announced by the Administrative Agent at its principal office as its prime commercial lending rate (it being understood that such prime commercial rate is a reference rate and does not necessarily represent the lowest or best rate being charged by the Administrative Agent to any customer and such rate is set by the Administrative Agent based upon various factors including the Administrative Agent’s costs and desired return, general economic conditions and other factors), (b) the sum of one half of one percent (0.50%) per annum and the Federal Funds Rate and (c) the sum of (x) Term SOFR Rate calculated for each such day based on an Interest Period of one month determined two (2) Business Days prior to such day, plus (y) 1.00%. Any change in the Base Rate due to a change in any of the foregoing shall be effective on the effective date of such change in the Administrative Agent’s prime commercial lending rate, the Federal Funds Rate or Term SOFR Rate for an Interest Period of one month.</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Loan</w:t>
      </w:r>
      <w:r>
        <w:rPr>
          <w:rFonts w:ascii="Times New Roman" w:cs="Times New Roman" w:eastAsia="Times New Roman" w:hAnsi="Times New Roman"/>
          <w:sz w:val="20"/>
          <w:szCs w:val="20"/>
          <w:color w:val="auto"/>
        </w:rPr>
        <w:t>” means a Loan that bears interest based on the Base Rate.</w:t>
      </w:r>
    </w:p>
    <w:p>
      <w:pPr>
        <w:spacing w:after="0" w:line="216" w:lineRule="exact"/>
        <w:rPr>
          <w:sz w:val="20"/>
          <w:szCs w:val="20"/>
          <w:color w:val="auto"/>
        </w:rPr>
      </w:pPr>
    </w:p>
    <w:p>
      <w:pPr>
        <w:ind w:right="1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Basket</w:t>
      </w:r>
      <w:r>
        <w:rPr>
          <w:rFonts w:ascii="Times New Roman" w:cs="Times New Roman" w:eastAsia="Times New Roman" w:hAnsi="Times New Roman"/>
          <w:sz w:val="20"/>
          <w:szCs w:val="20"/>
          <w:color w:val="auto"/>
        </w:rPr>
        <w:t>” means any amount, threshold, exception or value (including by reference to the First Lien Net Leverage Ratio, the Secured Net Leverage Ratio, the Total Net Leverage Ratio, the Interest Coverage Ratio, Consolidated EBITDA or Total Assets) permitted or prescribed with respect to any Lien,</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06" w:name="page107"/>
    <w:bookmarkEnd w:id="106"/>
    <w:p>
      <w:pPr>
        <w:ind w:right="60"/>
        <w:spacing w:after="0" w:line="269" w:lineRule="auto"/>
        <w:rPr>
          <w:sz w:val="20"/>
          <w:szCs w:val="20"/>
          <w:color w:val="auto"/>
        </w:rPr>
      </w:pPr>
      <w:r>
        <w:rPr>
          <w:rFonts w:ascii="Times New Roman" w:cs="Times New Roman" w:eastAsia="Times New Roman" w:hAnsi="Times New Roman"/>
          <w:sz w:val="20"/>
          <w:szCs w:val="20"/>
          <w:color w:val="auto"/>
        </w:rPr>
        <w:t>Indebtedness, Asset Sale, Investment, Restricted Payment, transaction, action, judgment or amount under any provision in this Agreement or any other Loan Document.</w:t>
      </w:r>
    </w:p>
    <w:p>
      <w:pPr>
        <w:spacing w:after="0" w:line="155" w:lineRule="exact"/>
        <w:rPr>
          <w:sz w:val="20"/>
          <w:szCs w:val="20"/>
          <w:color w:val="auto"/>
        </w:rPr>
      </w:pPr>
    </w:p>
    <w:p>
      <w:pPr>
        <w:ind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initially, Term SOFR Rate;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Benchmark Transition Event and a replacement of the applicable Benchmark has occurred pursuant to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 xml:space="preserve"> have occurred with respect to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right="60"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xml:space="preserve">” means with respect to any Benchmark Transition Event, the alternate benchmark rate that has been selected by the Administrative Agent and the Borrower giving due consideration to (A) any selection or recommendation of a replacement benchmark rate or the mechanism for determining such a rate by the Relevant Governmental Body, (B) any evolving or then-prevailing market convention for determining a benchmark rate as a replacement to the then-current Benchmark for U.S. dollar-denominated syndicated credit facilities or (C) any impact to the Borrower under proposed U.S. Treasury Regulation § 1.1001-6 as of the date thereof and any successor or final regulation or other guidance relating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82" w:lineRule="exact"/>
        <w:rPr>
          <w:sz w:val="20"/>
          <w:szCs w:val="20"/>
          <w:color w:val="auto"/>
        </w:rPr>
      </w:pPr>
    </w:p>
    <w:p>
      <w:pPr>
        <w:jc w:val="both"/>
        <w:ind w:right="80" w:firstLine="1497"/>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Conforming Changes</w:t>
      </w:r>
      <w:r>
        <w:rPr>
          <w:rFonts w:ascii="Times New Roman" w:cs="Times New Roman" w:eastAsia="Times New Roman" w:hAnsi="Times New Roman"/>
          <w:sz w:val="19"/>
          <w:szCs w:val="19"/>
          <w:color w:val="auto"/>
        </w:rPr>
        <w:t>” means, with respect to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the definition of “U.S.</w:t>
      </w:r>
    </w:p>
    <w:p>
      <w:pPr>
        <w:spacing w:after="0" w:line="2"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Government Securities Business Day,” timing and frequency of determining rates and making payments of interest, timing of borrowing requests or prepayment, conversion or continuation notices, applicability and length of lookback periods, the applicability of breakage provisions,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in consultation with the Borrower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Loan Documents).</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means the earlier to occur of the following events with respect to the then-current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94" w:lineRule="exact"/>
        <w:rPr>
          <w:sz w:val="20"/>
          <w:szCs w:val="20"/>
          <w:color w:val="auto"/>
        </w:rPr>
      </w:pPr>
    </w:p>
    <w:p>
      <w:pPr>
        <w:jc w:val="both"/>
        <w:ind w:right="140" w:firstLine="1505"/>
        <w:spacing w:after="0" w:line="249"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9" w:lineRule="exact"/>
        <w:rPr>
          <w:rFonts w:ascii="Times New Roman" w:cs="Times New Roman" w:eastAsia="Times New Roman" w:hAnsi="Times New Roman"/>
          <w:sz w:val="20"/>
          <w:szCs w:val="20"/>
          <w:color w:val="auto"/>
        </w:rPr>
      </w:pPr>
    </w:p>
    <w:p>
      <w:pPr>
        <w:ind w:right="40" w:firstLine="1505"/>
        <w:spacing w:after="0" w:line="249"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even if any Available Tenor of such Benchmark (or such component thereof) continues to be provided on such date.</w:t>
      </w:r>
    </w:p>
    <w:p>
      <w:pPr>
        <w:spacing w:after="0" w:line="216" w:lineRule="exact"/>
        <w:rPr>
          <w:sz w:val="20"/>
          <w:szCs w:val="20"/>
          <w:color w:val="auto"/>
        </w:rPr>
      </w:pPr>
    </w:p>
    <w:p>
      <w:pPr>
        <w:ind w:right="80" w:firstLine="1497"/>
        <w:spacing w:after="0" w:line="254"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0" w:lineRule="exact"/>
        <w:rPr>
          <w:sz w:val="20"/>
          <w:szCs w:val="20"/>
          <w:color w:val="auto"/>
        </w:rPr>
      </w:pPr>
    </w:p>
    <w:p>
      <w:pPr>
        <w:ind w:right="2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 Benchmark:</w:t>
      </w:r>
    </w:p>
    <w:p>
      <w:pPr>
        <w:spacing w:after="0" w:line="156" w:lineRule="exact"/>
        <w:rPr>
          <w:sz w:val="20"/>
          <w:szCs w:val="20"/>
          <w:color w:val="auto"/>
        </w:rPr>
      </w:pPr>
    </w:p>
    <w:p>
      <w:pPr>
        <w:ind w:right="340" w:firstLine="1505"/>
        <w:spacing w:after="0" w:line="246"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4" w:lineRule="exact"/>
        <w:rPr>
          <w:rFonts w:ascii="Times New Roman" w:cs="Times New Roman" w:eastAsia="Times New Roman" w:hAnsi="Times New Roman"/>
          <w:sz w:val="20"/>
          <w:szCs w:val="20"/>
          <w:color w:val="auto"/>
        </w:rPr>
      </w:pPr>
    </w:p>
    <w:p>
      <w:pPr>
        <w:ind w:firstLine="1505"/>
        <w:spacing w:after="0" w:line="258" w:lineRule="auto"/>
        <w:tabs>
          <w:tab w:leader="none" w:pos="189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is satisfactory to the Administrative Agent that will continue to provide any Available Tenor of such Benchmark (or such component thereof); or</w:t>
      </w:r>
    </w:p>
    <w:p>
      <w:pPr>
        <w:spacing w:after="0" w:line="173" w:lineRule="exact"/>
        <w:rPr>
          <w:rFonts w:ascii="Times New Roman" w:cs="Times New Roman" w:eastAsia="Times New Roman" w:hAnsi="Times New Roman"/>
          <w:sz w:val="19"/>
          <w:szCs w:val="19"/>
          <w:color w:val="auto"/>
        </w:rPr>
      </w:pPr>
    </w:p>
    <w:p>
      <w:pPr>
        <w:ind w:firstLine="1505"/>
        <w:spacing w:after="0" w:line="254"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4" w:lineRule="exact"/>
        <w:rPr>
          <w:sz w:val="20"/>
          <w:szCs w:val="20"/>
          <w:color w:val="auto"/>
        </w:rPr>
      </w:pPr>
    </w:p>
    <w:p>
      <w:pPr>
        <w:ind w:right="40" w:firstLine="1497"/>
        <w:spacing w:after="0" w:line="254"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0" w:lineRule="exact"/>
        <w:rPr>
          <w:sz w:val="20"/>
          <w:szCs w:val="20"/>
          <w:color w:val="auto"/>
        </w:rPr>
      </w:pPr>
    </w:p>
    <w:p>
      <w:pPr>
        <w:ind w:right="6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(i) the applicable Benchmark Replacement Date and (ii) if such Benchmark Transition Event is a public statement or publication of information of a prospective event, the 90th day (or such other date selected by the Administrative Agent and the Borrower) prior to the expected date of such event as of such public statement or publication of information (or if the expected date of such prospective event is fewer than 90 days (or such other date selected by the Administrative Agent and the Borrower) after such statement or publication, the date of such statement or publication).</w:t>
      </w:r>
    </w:p>
    <w:p>
      <w:pPr>
        <w:spacing w:after="0" w:line="179" w:lineRule="exact"/>
        <w:rPr>
          <w:sz w:val="20"/>
          <w:szCs w:val="20"/>
          <w:color w:val="auto"/>
        </w:rPr>
      </w:pPr>
    </w:p>
    <w:p>
      <w:pPr>
        <w:ind w:right="1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means the period (if any) (a) beginning at the time that a Benchmark Replacement Date has occurred if, at such time, no Benchmark Replacement has replaced the then-current Benchmark for all purposes hereunder and under any Loan Document 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ind w:right="440"/>
        <w:spacing w:after="0" w:line="269" w:lineRule="auto"/>
        <w:rPr>
          <w:sz w:val="20"/>
          <w:szCs w:val="20"/>
          <w:color w:val="auto"/>
        </w:rPr>
      </w:pPr>
      <w:r>
        <w:rPr>
          <w:rFonts w:ascii="Times New Roman" w:cs="Times New Roman" w:eastAsia="Times New Roman" w:hAnsi="Times New Roman"/>
          <w:sz w:val="20"/>
          <w:szCs w:val="20"/>
          <w:color w:val="auto"/>
        </w:rPr>
        <w:t>accordance with Section 11.6 and (b) ending at the time that a Benchmark Replacement has replaced the then-current Benchmark for all purposes hereunder and under any Loan Document in accordance with Section 11.6.</w:t>
      </w:r>
    </w:p>
    <w:p>
      <w:pPr>
        <w:spacing w:after="0" w:line="155" w:lineRule="exact"/>
        <w:rPr>
          <w:sz w:val="20"/>
          <w:szCs w:val="20"/>
          <w:color w:val="auto"/>
        </w:rPr>
      </w:pPr>
    </w:p>
    <w:p>
      <w:pPr>
        <w:ind w:right="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right="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BHC Act Affiliate</w:t>
      </w:r>
      <w:r>
        <w:rPr>
          <w:rFonts w:ascii="Times New Roman" w:cs="Times New Roman" w:eastAsia="Times New Roman" w:hAnsi="Times New Roman"/>
          <w:sz w:val="20"/>
          <w:szCs w:val="20"/>
          <w:color w:val="auto"/>
        </w:rPr>
        <w:t>” means, with respect to any given party, an “affiliate” (as such term is defined under, and interpreted in accordance with, 12 U.S.C. 1841(k)) of such party.</w:t>
      </w:r>
    </w:p>
    <w:p>
      <w:pPr>
        <w:spacing w:after="0" w:line="152"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Big Boy Letter</w:t>
      </w:r>
      <w:r>
        <w:rPr>
          <w:rFonts w:ascii="Times New Roman" w:cs="Times New Roman" w:eastAsia="Times New Roman" w:hAnsi="Times New Roman"/>
          <w:sz w:val="20"/>
          <w:szCs w:val="20"/>
          <w:color w:val="auto"/>
        </w:rPr>
        <w:t>” means a letter from a Lender acknowledging that (1) an assignee may have information regarding Holdings, the Borrower and any Subsidiary of Holdings, their businesses, their ability to perform the Obligations or any other material information that has not previously been disclosed to the Administrative Agent and the Lenders (“</w:t>
      </w:r>
      <w:r>
        <w:rPr>
          <w:rFonts w:ascii="Times New Roman" w:cs="Times New Roman" w:eastAsia="Times New Roman" w:hAnsi="Times New Roman"/>
          <w:sz w:val="20"/>
          <w:szCs w:val="20"/>
          <w:b w:val="1"/>
          <w:bCs w:val="1"/>
          <w:color w:val="auto"/>
        </w:rPr>
        <w:t>Excluded Information</w:t>
      </w:r>
      <w:r>
        <w:rPr>
          <w:rFonts w:ascii="Times New Roman" w:cs="Times New Roman" w:eastAsia="Times New Roman" w:hAnsi="Times New Roman"/>
          <w:sz w:val="20"/>
          <w:szCs w:val="20"/>
          <w:color w:val="auto"/>
        </w:rPr>
        <w:t xml:space="preserve">”), (2) the Excluded Information may not be available to such Lender, (3) such Lender has independently and without reliance on any other party made its own analysis and determined to assign Term Loans to such assignee pursuant to </w:t>
      </w:r>
      <w:r>
        <w:rPr>
          <w:rFonts w:ascii="Times New Roman" w:cs="Times New Roman" w:eastAsia="Times New Roman" w:hAnsi="Times New Roman"/>
          <w:sz w:val="20"/>
          <w:szCs w:val="20"/>
          <w:u w:val="single" w:color="auto"/>
          <w:color w:val="auto"/>
        </w:rPr>
        <w:t>Section 10.07(8)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notwithstanding its lack of knowledge of the Excluded Information and (4) such Lender waives and releases any claims it may have against the Administrative Agent, such assignee, Holdings, the Borrower and the Subsidiaries of the Borrower with respect to the nondisclosure of the Excluded Information; or otherwise in form and substance reasonably satisfactory to such assignee, the Administrative Agent and assigning Lender.</w:t>
      </w:r>
    </w:p>
    <w:p>
      <w:pPr>
        <w:spacing w:after="0" w:line="182" w:lineRule="exact"/>
        <w:rPr>
          <w:sz w:val="20"/>
          <w:szCs w:val="20"/>
          <w:color w:val="auto"/>
        </w:rPr>
      </w:pPr>
    </w:p>
    <w:p>
      <w:pPr>
        <w:ind w:right="12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means, for any Person, the board of directors or other governing body of such Person or, if such Person does not have such a board of directors or other governing body and is owned or managed by a single Person, the Board of Directors of such Person, or, in either case, any committee thereof duly authorized to act on behalf of such Board of Directors. Unless otherwise provided, “Board of Directors” means the Board of Directors of the Borrower.</w:t>
      </w:r>
    </w:p>
    <w:p>
      <w:pPr>
        <w:spacing w:after="0" w:line="176" w:lineRule="exact"/>
        <w:rPr>
          <w:sz w:val="20"/>
          <w:szCs w:val="20"/>
          <w:color w:val="auto"/>
        </w:rPr>
      </w:pPr>
    </w:p>
    <w:p>
      <w:pPr>
        <w:ind w:right="4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xml:space="preserve">” has the meaning specified in the introductory paragraph to this Agreement. Upon consummation of any transaction permitted by </w:t>
      </w:r>
      <w:r>
        <w:rPr>
          <w:rFonts w:ascii="Times New Roman" w:cs="Times New Roman" w:eastAsia="Times New Roman" w:hAnsi="Times New Roman"/>
          <w:sz w:val="20"/>
          <w:szCs w:val="20"/>
          <w:u w:val="single" w:color="auto"/>
          <w:color w:val="auto"/>
        </w:rPr>
        <w:t>Section 7.03(4)</w:t>
      </w:r>
      <w:r>
        <w:rPr>
          <w:rFonts w:ascii="Times New Roman" w:cs="Times New Roman" w:eastAsia="Times New Roman" w:hAnsi="Times New Roman"/>
          <w:sz w:val="20"/>
          <w:szCs w:val="20"/>
          <w:color w:val="auto"/>
        </w:rPr>
        <w:t>, “Borrower” shall mean (or include, as applicable) a Successor Borrower.</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Offer of Specified Discount Prepayment</w:t>
      </w:r>
      <w:r>
        <w:rPr>
          <w:rFonts w:ascii="Times New Roman" w:cs="Times New Roman" w:eastAsia="Times New Roman" w:hAnsi="Times New Roman"/>
          <w:sz w:val="20"/>
          <w:szCs w:val="20"/>
          <w:color w:val="auto"/>
        </w:rPr>
        <w:t xml:space="preserve">” means any offer by any Borrower Party to make a voluntary prepayment of Loans at a specified discount to par pursuant to </w:t>
      </w:r>
      <w:r>
        <w:rPr>
          <w:rFonts w:ascii="Times New Roman" w:cs="Times New Roman" w:eastAsia="Times New Roman" w:hAnsi="Times New Roman"/>
          <w:sz w:val="20"/>
          <w:szCs w:val="20"/>
          <w:u w:val="single" w:color="auto"/>
          <w:color w:val="auto"/>
        </w:rPr>
        <w:t>Section 2.05(1)(e)(B)</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right="2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Parties</w:t>
      </w:r>
      <w:r>
        <w:rPr>
          <w:rFonts w:ascii="Times New Roman" w:cs="Times New Roman" w:eastAsia="Times New Roman" w:hAnsi="Times New Roman"/>
          <w:sz w:val="20"/>
          <w:szCs w:val="20"/>
          <w:color w:val="auto"/>
        </w:rPr>
        <w:t>” means the collective reference to Holdings, the Borrower and each Subsidiary of the Borrower and “</w:t>
      </w:r>
      <w:r>
        <w:rPr>
          <w:rFonts w:ascii="Times New Roman" w:cs="Times New Roman" w:eastAsia="Times New Roman" w:hAnsi="Times New Roman"/>
          <w:sz w:val="20"/>
          <w:szCs w:val="20"/>
          <w:b w:val="1"/>
          <w:bCs w:val="1"/>
          <w:color w:val="auto"/>
        </w:rPr>
        <w:t>Borrower Party</w:t>
      </w:r>
      <w:r>
        <w:rPr>
          <w:rFonts w:ascii="Times New Roman" w:cs="Times New Roman" w:eastAsia="Times New Roman" w:hAnsi="Times New Roman"/>
          <w:sz w:val="20"/>
          <w:szCs w:val="20"/>
          <w:color w:val="auto"/>
        </w:rPr>
        <w:t>” means any of them.</w:t>
      </w:r>
    </w:p>
    <w:p>
      <w:pPr>
        <w:spacing w:after="0" w:line="152" w:lineRule="exact"/>
        <w:rPr>
          <w:sz w:val="20"/>
          <w:szCs w:val="20"/>
          <w:color w:val="auto"/>
        </w:rPr>
      </w:pPr>
    </w:p>
    <w:p>
      <w:pPr>
        <w:ind w:right="8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Solicitation of Discount Range Prepayment Offers</w:t>
      </w:r>
      <w:r>
        <w:rPr>
          <w:rFonts w:ascii="Times New Roman" w:cs="Times New Roman" w:eastAsia="Times New Roman" w:hAnsi="Times New Roman"/>
          <w:sz w:val="20"/>
          <w:szCs w:val="20"/>
          <w:color w:val="auto"/>
        </w:rPr>
        <w:t xml:space="preserve">” means the solicitation by any Borrower Party of offers for, and the corresponding acceptance by a Lender of, a voluntary prepayment of Loans at a specified range of discounts to par pursuant to </w:t>
      </w:r>
      <w:r>
        <w:rPr>
          <w:rFonts w:ascii="Times New Roman" w:cs="Times New Roman" w:eastAsia="Times New Roman" w:hAnsi="Times New Roman"/>
          <w:sz w:val="20"/>
          <w:szCs w:val="20"/>
          <w:u w:val="single" w:color="auto"/>
          <w:color w:val="auto"/>
        </w:rPr>
        <w:t>Section 2.05(1)(e)(C)</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14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Solicitation of Discounted Prepayment Offers</w:t>
      </w:r>
      <w:r>
        <w:rPr>
          <w:rFonts w:ascii="Times New Roman" w:cs="Times New Roman" w:eastAsia="Times New Roman" w:hAnsi="Times New Roman"/>
          <w:sz w:val="20"/>
          <w:szCs w:val="20"/>
          <w:color w:val="auto"/>
        </w:rPr>
        <w:t xml:space="preserve">” means the solicitation by any Borrower Party of offers for, and the subsequent acceptance, if any, by a Lender of, a voluntary prepayment of Loans at a discount to par pursuant to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9" w:name="page110"/>
    <w:bookmarkEnd w:id="109"/>
    <w:p>
      <w:pPr>
        <w:ind w:right="2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w:t>
      </w:r>
      <w:r>
        <w:rPr>
          <w:rFonts w:ascii="Times New Roman" w:cs="Times New Roman" w:eastAsia="Times New Roman" w:hAnsi="Times New Roman"/>
          <w:sz w:val="20"/>
          <w:szCs w:val="20"/>
          <w:color w:val="auto"/>
        </w:rPr>
        <w:t>” means a borrowing consisting of Loans of the same Class and Type made, converted or continued on the same date and, in the case of Term Benchmark Rate Loans, having the same Interest Period.</w:t>
      </w:r>
    </w:p>
    <w:p>
      <w:pPr>
        <w:spacing w:after="0" w:line="152"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Broker-Dealer Regulated Subsidiary</w:t>
      </w:r>
      <w:r>
        <w:rPr>
          <w:rFonts w:ascii="Times New Roman" w:cs="Times New Roman" w:eastAsia="Times New Roman" w:hAnsi="Times New Roman"/>
          <w:sz w:val="20"/>
          <w:szCs w:val="20"/>
          <w:color w:val="auto"/>
        </w:rPr>
        <w:t>” means any Subsidiary of the Borrower that is registered as a broker-dealer under the Exchange Act or any other applicable Laws requiring such registration.</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that is not a Legal Holiday.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One</w:t>
      </w:r>
      <w:r>
        <w:rPr>
          <w:rFonts w:ascii="Times New Roman" w:cs="Times New Roman" w:eastAsia="Times New Roman" w:hAnsi="Times New Roman"/>
          <w:sz w:val="20"/>
          <w:szCs w:val="20"/>
          <w:color w:val="auto"/>
        </w:rPr>
        <w:t>” has the meaning specified in the introductory paragraph to this Agreement.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Stock</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900" w:hanging="395"/>
        <w:spacing w:after="0"/>
        <w:tabs>
          <w:tab w:leader="none" w:pos="1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corporation, corporate stock or shares in the capital of such corporation;</w:t>
      </w:r>
    </w:p>
    <w:p>
      <w:pPr>
        <w:spacing w:after="0" w:line="215"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association or business entity, any and all shares, interests, participations, rights or other equivalents (however designated) of corporate stock;</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partnership or limited liability company, partnership or membership interests (whether general or</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and</w:t>
      </w:r>
    </w:p>
    <w:p>
      <w:pPr>
        <w:spacing w:after="0" w:line="193" w:lineRule="exact"/>
        <w:rPr>
          <w:rFonts w:ascii="Times New Roman" w:cs="Times New Roman" w:eastAsia="Times New Roman" w:hAnsi="Times New Roman"/>
          <w:sz w:val="20"/>
          <w:szCs w:val="20"/>
          <w:color w:val="auto"/>
        </w:rPr>
      </w:pPr>
    </w:p>
    <w:p>
      <w:pPr>
        <w:ind w:left="760" w:right="160" w:firstLine="745"/>
        <w:spacing w:after="0" w:line="254" w:lineRule="auto"/>
        <w:tabs>
          <w:tab w:leader="none" w:pos="19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interest or participation that confers on a Person the right to receive a share of the profits and losses of, or distributions of assets of, the issuing Person, but excluding from all of the foregoing any debt securities convertible into or exchangeable for Capital Stock, whether or not such debt securities include any right of participation with Capital Stock.</w:t>
      </w:r>
    </w:p>
    <w:p>
      <w:pPr>
        <w:spacing w:after="0" w:line="170" w:lineRule="exact"/>
        <w:rPr>
          <w:sz w:val="20"/>
          <w:szCs w:val="20"/>
          <w:color w:val="auto"/>
        </w:rPr>
      </w:pPr>
    </w:p>
    <w:p>
      <w:pPr>
        <w:ind w:right="2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Capitalized Lease Obligation</w:t>
      </w:r>
      <w:r>
        <w:rPr>
          <w:rFonts w:ascii="Times New Roman" w:cs="Times New Roman" w:eastAsia="Times New Roman" w:hAnsi="Times New Roman"/>
          <w:sz w:val="20"/>
          <w:szCs w:val="20"/>
          <w:color w:val="auto"/>
        </w:rPr>
        <w:t xml:space="preserve">” means, at the time any determination thereof is to be made, the amount of the liability in respect of a capital lease that would at such time be required to be capitalized and reflected as a liability on a balance sheet (excluding the footnotes thereto) prepared in accordance with GAAP in accordance with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Notwithstanding anything to the contrary herein, no liabilities or other obligations in respect of any equipment leases shall constitute Capitalized Lease Obligations.</w:t>
      </w:r>
    </w:p>
    <w:p>
      <w:pPr>
        <w:spacing w:after="0" w:line="176" w:lineRule="exact"/>
        <w:rPr>
          <w:sz w:val="20"/>
          <w:szCs w:val="20"/>
          <w:color w:val="auto"/>
        </w:rPr>
      </w:pPr>
    </w:p>
    <w:p>
      <w:pPr>
        <w:ind w:right="2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Capitalized Software Expenditures</w:t>
      </w:r>
      <w:r>
        <w:rPr>
          <w:rFonts w:ascii="Times New Roman" w:cs="Times New Roman" w:eastAsia="Times New Roman" w:hAnsi="Times New Roman"/>
          <w:sz w:val="20"/>
          <w:szCs w:val="20"/>
          <w:color w:val="auto"/>
        </w:rPr>
        <w:t>”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76" w:lineRule="exact"/>
        <w:rPr>
          <w:sz w:val="20"/>
          <w:szCs w:val="20"/>
          <w:color w:val="auto"/>
        </w:rPr>
      </w:pPr>
    </w:p>
    <w:p>
      <w:pPr>
        <w:ind w:right="4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Captive Insurance Subsidiary</w:t>
      </w:r>
      <w:r>
        <w:rPr>
          <w:rFonts w:ascii="Times New Roman" w:cs="Times New Roman" w:eastAsia="Times New Roman" w:hAnsi="Times New Roman"/>
          <w:sz w:val="20"/>
          <w:szCs w:val="20"/>
          <w:color w:val="auto"/>
        </w:rPr>
        <w:t>” means any Subsidiary of the Borrower that is subject to regulation as an insurance company (or any Subsidiary thereof).</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Collateral</w:t>
      </w:r>
      <w:r>
        <w:rPr>
          <w:rFonts w:ascii="Times New Roman" w:cs="Times New Roman" w:eastAsia="Times New Roman" w:hAnsi="Times New Roman"/>
          <w:sz w:val="20"/>
          <w:szCs w:val="20"/>
          <w:color w:val="auto"/>
        </w:rPr>
        <w:t>” has the meaning specified in the definition of “Cash Collateralize.”</w:t>
      </w:r>
    </w:p>
    <w:p>
      <w:pPr>
        <w:spacing w:after="0" w:line="216" w:lineRule="exact"/>
        <w:rPr>
          <w:sz w:val="20"/>
          <w:szCs w:val="20"/>
          <w:color w:val="auto"/>
        </w:rPr>
      </w:pPr>
    </w:p>
    <w:p>
      <w:pPr>
        <w:ind w:right="1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Collateral Account</w:t>
      </w:r>
      <w:r>
        <w:rPr>
          <w:rFonts w:ascii="Times New Roman" w:cs="Times New Roman" w:eastAsia="Times New Roman" w:hAnsi="Times New Roman"/>
          <w:sz w:val="20"/>
          <w:szCs w:val="20"/>
          <w:color w:val="auto"/>
        </w:rPr>
        <w:t>” means an account held in the name of a Loan Party at, and subject to the sole dominion and control of, the Collateral Agent.</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10" w:name="page111"/>
    <w:bookmarkEnd w:id="110"/>
    <w:p>
      <w:pPr>
        <w:ind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Collateralize</w:t>
      </w:r>
      <w:r>
        <w:rPr>
          <w:rFonts w:ascii="Times New Roman" w:cs="Times New Roman" w:eastAsia="Times New Roman" w:hAnsi="Times New Roman"/>
          <w:sz w:val="20"/>
          <w:szCs w:val="20"/>
          <w:color w:val="auto"/>
        </w:rPr>
        <w:t>” means, in respect of an Obligation, to provide and pledge cash or Cash Equivalents in Dollars as collateral, at a location and pursuant to documentation in form and substance reasonably satisfactory to the relevant Issuing Bank with respect to any Letter of Credit, as applicable. “</w:t>
      </w:r>
      <w:r>
        <w:rPr>
          <w:rFonts w:ascii="Times New Roman" w:cs="Times New Roman" w:eastAsia="Times New Roman" w:hAnsi="Times New Roman"/>
          <w:sz w:val="20"/>
          <w:szCs w:val="20"/>
          <w:b w:val="1"/>
          <w:bCs w:val="1"/>
          <w:color w:val="auto"/>
        </w:rPr>
        <w:t>Cash Collateral</w:t>
      </w:r>
      <w:r>
        <w:rPr>
          <w:rFonts w:ascii="Times New Roman" w:cs="Times New Roman" w:eastAsia="Times New Roman" w:hAnsi="Times New Roman"/>
          <w:sz w:val="20"/>
          <w:szCs w:val="20"/>
          <w:color w:val="auto"/>
        </w:rPr>
        <w:t>” has a meaning correlative to the foregoing and shall include the proceeds of such cash collateral and other credit support.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900" w:hanging="395"/>
        <w:spacing w:after="0"/>
        <w:tabs>
          <w:tab w:leader="none" w:pos="19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w:t>
      </w:r>
    </w:p>
    <w:p>
      <w:pPr>
        <w:spacing w:after="0" w:line="215" w:lineRule="exact"/>
        <w:rPr>
          <w:rFonts w:ascii="Times New Roman" w:cs="Times New Roman" w:eastAsia="Times New Roman" w:hAnsi="Times New Roman"/>
          <w:sz w:val="20"/>
          <w:szCs w:val="20"/>
          <w:color w:val="auto"/>
        </w:rPr>
      </w:pPr>
    </w:p>
    <w:p>
      <w:pPr>
        <w:ind w:left="760" w:right="180" w:firstLine="745"/>
        <w:spacing w:after="0" w:line="274" w:lineRule="auto"/>
        <w:tabs>
          <w:tab w:leader="none" w:pos="190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Euros, Yen, Canadian Dollars, Sterling or any national currency of any participating member state of the EMU; and (b) in the case of any Foreign Subsidiary or any jurisdiction in which the Borrower or any Restricted Subsidiary conducts business, such local currencies held by it from time to time in the ordinary course of business or consistent with industry practice;</w:t>
      </w:r>
    </w:p>
    <w:p>
      <w:pPr>
        <w:spacing w:after="0" w:line="156" w:lineRule="exact"/>
        <w:rPr>
          <w:rFonts w:ascii="Times New Roman" w:cs="Times New Roman" w:eastAsia="Times New Roman" w:hAnsi="Times New Roman"/>
          <w:sz w:val="19"/>
          <w:szCs w:val="19"/>
          <w:color w:val="auto"/>
        </w:rPr>
      </w:pPr>
    </w:p>
    <w:p>
      <w:pPr>
        <w:ind w:left="760" w:right="100" w:firstLine="745"/>
        <w:spacing w:after="0" w:line="254"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or directly and fully and unconditionally guaranteed or insured by the U.S. government or any agency or instrumentality thereof the securities of which are unconditionally guaranteed as a full faith and credit obligation of such government with maturities of 36 months or less from the date of acquisition;</w:t>
      </w:r>
    </w:p>
    <w:p>
      <w:pPr>
        <w:spacing w:after="0" w:line="174" w:lineRule="exact"/>
        <w:rPr>
          <w:rFonts w:ascii="Times New Roman" w:cs="Times New Roman" w:eastAsia="Times New Roman" w:hAnsi="Times New Roman"/>
          <w:sz w:val="20"/>
          <w:szCs w:val="20"/>
          <w:color w:val="auto"/>
        </w:rPr>
      </w:pPr>
    </w:p>
    <w:p>
      <w:pPr>
        <w:ind w:left="760" w:right="120" w:firstLine="745"/>
        <w:spacing w:after="0" w:line="246"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eurocurrency time deposits with maturities of three years or less from the date of acquisition, demand deposits, bankers’ acceptances with maturities not exceeding three years and overnight bank deposits, in each case with any domestic or foreign commercial bank having capital and surplus of not less than $250,000,000 in the case of U.S. banks and $100,000,000 (or the Dollar equivalent as of the date of determination) in the case of non-U.S. banks (any such bank, an “</w:t>
      </w:r>
      <w:r>
        <w:rPr>
          <w:rFonts w:ascii="Times New Roman" w:cs="Times New Roman" w:eastAsia="Times New Roman" w:hAnsi="Times New Roman"/>
          <w:sz w:val="20"/>
          <w:szCs w:val="20"/>
          <w:b w:val="1"/>
          <w:bCs w:val="1"/>
          <w:color w:val="auto"/>
        </w:rPr>
        <w:t>Approved Bank</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760" w:right="60" w:firstLine="745"/>
        <w:spacing w:after="0" w:line="254"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obligations for underlying securities of the types described in clauses (3) and (4) above or clauses (6), (7) and (8) below entered into with any financial institution or recognized securities dealer meeting the qualifications specified in clause (4) above;</w:t>
      </w:r>
    </w:p>
    <w:p>
      <w:pPr>
        <w:spacing w:after="0" w:line="174" w:lineRule="exact"/>
        <w:rPr>
          <w:rFonts w:ascii="Times New Roman" w:cs="Times New Roman" w:eastAsia="Times New Roman" w:hAnsi="Times New Roman"/>
          <w:sz w:val="20"/>
          <w:szCs w:val="20"/>
          <w:color w:val="auto"/>
        </w:rPr>
      </w:pPr>
    </w:p>
    <w:p>
      <w:pPr>
        <w:ind w:left="760" w:right="120" w:firstLine="745"/>
        <w:spacing w:after="0" w:line="254"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and variable or fixed rate notes rated at least P-2 by Moody’s or at least A-2 by S&amp;P (or, if at any time neither Moody’s nor S&amp;P is rating such obligations, an equivalent rating from another Rating Agency selected by the Borrower) and in each case maturing within 36 months after the date of acquisition thereof;</w:t>
      </w:r>
    </w:p>
    <w:p>
      <w:pPr>
        <w:spacing w:after="0" w:line="174" w:lineRule="exact"/>
        <w:rPr>
          <w:rFonts w:ascii="Times New Roman" w:cs="Times New Roman" w:eastAsia="Times New Roman" w:hAnsi="Times New Roman"/>
          <w:sz w:val="20"/>
          <w:szCs w:val="20"/>
          <w:color w:val="auto"/>
        </w:rPr>
      </w:pPr>
    </w:p>
    <w:p>
      <w:pPr>
        <w:ind w:left="760" w:right="380" w:firstLine="745"/>
        <w:spacing w:after="0" w:line="254"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liquid funds having a rating of at least P-2 or A-2 from either Moody’s or S&amp;P, respectively (or, if at any time neither Moody’s nor S&amp;P is rating such obligations, an equivalent rating from another Rating Agency selected by the Borrower);</w:t>
      </w:r>
    </w:p>
    <w:p>
      <w:pPr>
        <w:spacing w:after="0" w:line="174" w:lineRule="exact"/>
        <w:rPr>
          <w:rFonts w:ascii="Times New Roman" w:cs="Times New Roman" w:eastAsia="Times New Roman" w:hAnsi="Times New Roman"/>
          <w:sz w:val="20"/>
          <w:szCs w:val="20"/>
          <w:color w:val="auto"/>
        </w:rPr>
      </w:pPr>
    </w:p>
    <w:p>
      <w:pPr>
        <w:ind w:left="760" w:right="100" w:firstLine="745"/>
        <w:spacing w:after="0" w:line="254"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and unconditionally guaranteed by any state, commonwealth or territory of the United States or any political subdivision or taxing authority of any such state, commonwealth or territory or any public instrumentality thereof having maturities of not more than 36 months from the date of acquisition thereof;</w:t>
      </w:r>
    </w:p>
    <w:p>
      <w:pPr>
        <w:spacing w:after="0" w:line="174" w:lineRule="exact"/>
        <w:rPr>
          <w:rFonts w:ascii="Times New Roman" w:cs="Times New Roman" w:eastAsia="Times New Roman" w:hAnsi="Times New Roman"/>
          <w:sz w:val="20"/>
          <w:szCs w:val="20"/>
          <w:color w:val="auto"/>
        </w:rPr>
      </w:pPr>
    </w:p>
    <w:p>
      <w:pPr>
        <w:ind w:left="760" w:right="320" w:firstLine="745"/>
        <w:spacing w:after="0" w:line="254" w:lineRule="auto"/>
        <w:tabs>
          <w:tab w:leader="none" w:pos="19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or directly and fully and unconditionally guaranteed by any foreign government or any political subdivision or public instrumentality thereof, in each case having an Investment Grade Rating from either Moody’s or S&amp;P (or, if at any time neither Moody’s nor S&amp;P is rating such obligations, an equivalent rating</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11" w:name="page112"/>
    <w:bookmarkEnd w:id="111"/>
    <w:p>
      <w:pPr>
        <w:ind w:left="760"/>
        <w:spacing w:after="0"/>
        <w:rPr>
          <w:sz w:val="20"/>
          <w:szCs w:val="20"/>
          <w:color w:val="auto"/>
        </w:rPr>
      </w:pPr>
      <w:r>
        <w:rPr>
          <w:rFonts w:ascii="Times New Roman" w:cs="Times New Roman" w:eastAsia="Times New Roman" w:hAnsi="Times New Roman"/>
          <w:sz w:val="20"/>
          <w:szCs w:val="20"/>
          <w:color w:val="auto"/>
        </w:rPr>
        <w:t>from another Rating Agency selected by the Borrower) with maturities of 36 months or less from the date of acquisition;</w:t>
      </w:r>
    </w:p>
    <w:p>
      <w:pPr>
        <w:spacing w:after="0" w:line="216" w:lineRule="exact"/>
        <w:rPr>
          <w:sz w:val="20"/>
          <w:szCs w:val="20"/>
          <w:color w:val="auto"/>
        </w:rPr>
      </w:pPr>
    </w:p>
    <w:p>
      <w:pPr>
        <w:jc w:val="both"/>
        <w:ind w:left="760" w:right="200" w:firstLine="745"/>
        <w:spacing w:after="0" w:line="254" w:lineRule="auto"/>
        <w:tabs>
          <w:tab w:leader="none" w:pos="190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or Preferred Stock issued by Persons with a rating of “A” or higher from S&amp;P or “A2” or higher from Moody’s (or, if at any time neither Moody’s nor S&amp;P is rating such obligations, an equivalent rating from another Rating Agency selected by the Borrower) with maturities of 36 months or less from the date of acquisition;</w:t>
      </w:r>
    </w:p>
    <w:p>
      <w:pPr>
        <w:spacing w:after="0" w:line="174" w:lineRule="exact"/>
        <w:rPr>
          <w:rFonts w:ascii="Times New Roman" w:cs="Times New Roman" w:eastAsia="Times New Roman" w:hAnsi="Times New Roman"/>
          <w:sz w:val="20"/>
          <w:szCs w:val="20"/>
          <w:color w:val="auto"/>
        </w:rPr>
      </w:pPr>
    </w:p>
    <w:p>
      <w:pPr>
        <w:ind w:left="760" w:right="260" w:firstLine="745"/>
        <w:spacing w:after="0" w:line="274" w:lineRule="auto"/>
        <w:tabs>
          <w:tab w:leader="none" w:pos="1904"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with average maturities of 36 months or less from the date of acquisition in money market funds rated AAA- (or the equivalent thereof) or better by S&amp;P or Aaa3 (or the equivalent thereof) or better by Moody’s (or, if at any time neither Moody’s nor S&amp;P is rating such obligations, an equivalent rating from another Rating Agency selected by the Borrower);</w:t>
      </w:r>
    </w:p>
    <w:p>
      <w:pPr>
        <w:spacing w:after="0" w:line="156" w:lineRule="exact"/>
        <w:rPr>
          <w:rFonts w:ascii="Times New Roman" w:cs="Times New Roman" w:eastAsia="Times New Roman" w:hAnsi="Times New Roman"/>
          <w:sz w:val="19"/>
          <w:szCs w:val="19"/>
          <w:color w:val="auto"/>
        </w:rPr>
      </w:pPr>
    </w:p>
    <w:p>
      <w:pPr>
        <w:ind w:left="760" w:right="140" w:firstLine="745"/>
        <w:spacing w:after="0" w:line="269" w:lineRule="auto"/>
        <w:tabs>
          <w:tab w:leader="none" w:pos="190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with maturities of 36 months or less from the date of acquisition backed by standby letters of credit issued by any Approved Bank;</w:t>
      </w:r>
    </w:p>
    <w:p>
      <w:pPr>
        <w:spacing w:after="0" w:line="159" w:lineRule="exact"/>
        <w:rPr>
          <w:rFonts w:ascii="Times New Roman" w:cs="Times New Roman" w:eastAsia="Times New Roman" w:hAnsi="Times New Roman"/>
          <w:sz w:val="20"/>
          <w:szCs w:val="20"/>
          <w:color w:val="auto"/>
        </w:rPr>
      </w:pPr>
    </w:p>
    <w:p>
      <w:pPr>
        <w:ind w:left="760" w:right="80" w:firstLine="745"/>
        <w:spacing w:after="0" w:line="249" w:lineRule="auto"/>
        <w:tabs>
          <w:tab w:leader="none" w:pos="190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classified in accordance with GAAP as current assets of the Borrower or any Restricted Subsidiary, in money market investment programs which are registered under the Investment Company Act of 1940 or which are administered by financial institutions having capital of at least $250,000,000, and, in either case, the portfolios of which are limited such that substantially all of such Investments are of the character, quality and maturity described in clauses (1) through (12) above;</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funds investing substantially all of their assets in securities of the types described in clauses (1) through</w:t>
      </w:r>
    </w:p>
    <w:p>
      <w:pPr>
        <w:spacing w:after="0" w:line="2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and</w:t>
      </w:r>
    </w:p>
    <w:p>
      <w:pPr>
        <w:spacing w:after="0" w:line="193" w:lineRule="exact"/>
        <w:rPr>
          <w:rFonts w:ascii="Times New Roman" w:cs="Times New Roman" w:eastAsia="Times New Roman" w:hAnsi="Times New Roman"/>
          <w:sz w:val="20"/>
          <w:szCs w:val="20"/>
          <w:color w:val="auto"/>
        </w:rPr>
      </w:pPr>
    </w:p>
    <w:p>
      <w:pPr>
        <w:ind w:left="760" w:right="140" w:firstLine="745"/>
        <w:spacing w:after="0" w:line="269" w:lineRule="auto"/>
        <w:tabs>
          <w:tab w:leader="none" w:pos="190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with respect to any Captive Insurance Subsidiary, any investment that the Captive Insurance Subsidiary is not prohibited to make in accordance with applicable Law.</w:t>
      </w:r>
    </w:p>
    <w:p>
      <w:pPr>
        <w:spacing w:after="0" w:line="15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the case of Investments by any Foreign Subsidiary or Investments made in a country outside the United States, Cash Equivalents will also include (i) investments of the type and maturity described in clauses (1) through (15) above of foreign obligors, which investments or obligors (or the parents of such obligors) have ratings described in such clauses or equivalent ratings from comparable foreign rating agencies and (ii) other short-term investments utilized by Foreign Subsidiaries in accordance with normal investment practices for cash management in investments analogous to the foregoing investments in clauses (1) through (15) and in this paragraph.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Notwithstanding the foregoing, Cash Equivalents will include amounts denominated in currencies other than those set forth in clauses (1) and</w:t>
      </w:r>
    </w:p>
    <w:p>
      <w:pPr>
        <w:spacing w:after="0" w:line="33" w:lineRule="exact"/>
        <w:rPr>
          <w:sz w:val="20"/>
          <w:szCs w:val="20"/>
          <w:color w:val="auto"/>
        </w:rPr>
      </w:pPr>
    </w:p>
    <w:p>
      <w:pPr>
        <w:ind w:left="280" w:hanging="272"/>
        <w:spacing w:after="0"/>
        <w:tabs>
          <w:tab w:leader="none" w:pos="2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amounts, except amounts used to pay non-Dollar denominated obligations of the Borrower or any Restricted</w:t>
      </w:r>
    </w:p>
    <w:p>
      <w:pPr>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 in the ordinary course of business, are expected by the Borrower to be converted into any currency listed in clause (1) or (2) above as promptly as practicable and in any event within ten (10) Business Days following the receipt of such amounts (and solely to the extent so converted on or prior to such tenth (10th) Business Day).</w:t>
      </w:r>
    </w:p>
    <w:p>
      <w:pPr>
        <w:spacing w:after="0" w:line="183" w:lineRule="exact"/>
        <w:rPr>
          <w:sz w:val="20"/>
          <w:szCs w:val="20"/>
          <w:color w:val="auto"/>
        </w:rPr>
      </w:pPr>
    </w:p>
    <w:p>
      <w:pPr>
        <w:ind w:right="8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Agreement</w:t>
      </w:r>
      <w:r>
        <w:rPr>
          <w:rFonts w:ascii="Times New Roman" w:cs="Times New Roman" w:eastAsia="Times New Roman" w:hAnsi="Times New Roman"/>
          <w:sz w:val="20"/>
          <w:szCs w:val="20"/>
          <w:color w:val="auto"/>
        </w:rPr>
        <w:t>” means any agreement entered into from time to time by Holdings, the Borrower or any Restricted Subsidiary in connection with cash management services for collections, other Cash Management Services and for operating, payroll and trust accounts of such Person, including automatic clearing house services, controlled disbursement services, electronic funds transfer services, information reporting services, lockbox services, stop payment services and wire transfer services.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Bank</w:t>
      </w:r>
      <w:r>
        <w:rPr>
          <w:rFonts w:ascii="Times New Roman" w:cs="Times New Roman" w:eastAsia="Times New Roman" w:hAnsi="Times New Roman"/>
          <w:sz w:val="20"/>
          <w:szCs w:val="20"/>
          <w:color w:val="auto"/>
        </w:rPr>
        <w:t>” means (1) any Person set forth on Schedule 1.01(2), (2) any Person that is an Agent, a Lender or an Affiliate of an Agent or Lender party to a Cash Management Agreement, whether or not such Person subsequently ceases to be an Agent, a Lender or an Affiliate of an Agent or Lender or (3) any Person from time to time approved by the Administrative Agent (such approval not to be unreasonably withheld, delayed or conditioned) and specifically designated in writing as a “Cash Management Bank” by the Borrower to the Administrative Agent.</w:t>
      </w:r>
    </w:p>
    <w:p>
      <w:pPr>
        <w:spacing w:after="0" w:line="180" w:lineRule="exact"/>
        <w:rPr>
          <w:sz w:val="20"/>
          <w:szCs w:val="20"/>
          <w:color w:val="auto"/>
        </w:rPr>
      </w:pPr>
    </w:p>
    <w:p>
      <w:pPr>
        <w:ind w:right="2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Obligations</w:t>
      </w:r>
      <w:r>
        <w:rPr>
          <w:rFonts w:ascii="Times New Roman" w:cs="Times New Roman" w:eastAsia="Times New Roman" w:hAnsi="Times New Roman"/>
          <w:sz w:val="20"/>
          <w:szCs w:val="20"/>
          <w:color w:val="auto"/>
        </w:rPr>
        <w:t>” means obligations owed by Holdings, the Borrower or any Restricted Subsidiary to any Cash Management Bank in connection with, or in respect of, any Cash Management Services.</w:t>
      </w:r>
    </w:p>
    <w:p>
      <w:pPr>
        <w:spacing w:after="0" w:line="152" w:lineRule="exact"/>
        <w:rPr>
          <w:sz w:val="20"/>
          <w:szCs w:val="20"/>
          <w:color w:val="auto"/>
        </w:rPr>
      </w:pPr>
    </w:p>
    <w:p>
      <w:pPr>
        <w:ind w:right="16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Services</w:t>
      </w:r>
      <w:r>
        <w:rPr>
          <w:rFonts w:ascii="Times New Roman" w:cs="Times New Roman" w:eastAsia="Times New Roman" w:hAnsi="Times New Roman"/>
          <w:sz w:val="20"/>
          <w:szCs w:val="20"/>
          <w:color w:val="auto"/>
        </w:rPr>
        <w:t>” means (1) commercial credit cards, merchant card services, purchase or debit cards, including non-card e-payables services, (2) treasury management services (including controlled disbursement, overdraft, automatic clearing house fund transfer services, return items and interstate depository network services), (3) foreign exchange, netting and currency management services and (4) any other demand deposit or operating account relationships or other cash management services, including under any Cash Management Agreements.</w:t>
      </w:r>
    </w:p>
    <w:p>
      <w:pPr>
        <w:spacing w:after="0" w:line="180" w:lineRule="exact"/>
        <w:rPr>
          <w:sz w:val="20"/>
          <w:szCs w:val="20"/>
          <w:color w:val="auto"/>
        </w:rPr>
      </w:pPr>
    </w:p>
    <w:p>
      <w:pPr>
        <w:ind w:right="8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Casualty Event</w:t>
      </w:r>
      <w:r>
        <w:rPr>
          <w:rFonts w:ascii="Times New Roman" w:cs="Times New Roman" w:eastAsia="Times New Roman" w:hAnsi="Times New Roman"/>
          <w:sz w:val="20"/>
          <w:szCs w:val="20"/>
          <w:color w:val="auto"/>
        </w:rPr>
        <w:t>” means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w:t>
      </w:r>
    </w:p>
    <w:p>
      <w:pPr>
        <w:spacing w:after="0" w:line="169"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Law</w:t>
      </w:r>
      <w:r>
        <w:rPr>
          <w:rFonts w:ascii="Times New Roman" w:cs="Times New Roman" w:eastAsia="Times New Roman" w:hAnsi="Times New Roman"/>
          <w:sz w:val="20"/>
          <w:szCs w:val="20"/>
          <w:color w:val="auto"/>
        </w:rPr>
        <w:t>” means the occurrence, after the Closing Date, of any of the following: (1) the adoption of any law, rule, regulation or treaty (excluding the taking effect after the Closing Date of a law, rule, regulation or treaty adopted prior to the Closing Date), (2) any change in any law, rule, regulation or treaty or in the administration, interpretation or application thereof by any Governmental Authority or (3) the making or issuance of any request, guideline or directive (whether or not having the force of law) by any Governmental Authority. It is understood and agreed that (a) the Dodd–Frank Wall Street Reform and Consumer Protection Act (Public Law 111-203, H.R. 4173), all Laws relating thereto and all interpretations and applications thereof and (b) all requests, rules, guidelines or directives promulgated by the Bank for International Settlements, the Basel Committee on Banking Supervision (or any successor or similar authority) or the United States regulatory authorities, in each case pursuant to Basel III, shall, for the purpose of this Agreement, be deemed to be adopted subsequent to the Closing Date.</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the occurrence of any of the following after the Closing Date:</w:t>
      </w:r>
    </w:p>
    <w:p>
      <w:pPr>
        <w:spacing w:after="0" w:line="220" w:lineRule="exact"/>
        <w:rPr>
          <w:sz w:val="20"/>
          <w:szCs w:val="20"/>
          <w:color w:val="auto"/>
        </w:rPr>
      </w:pPr>
    </w:p>
    <w:p>
      <w:pPr>
        <w:ind w:left="760" w:right="20" w:firstLine="745"/>
        <w:spacing w:after="0" w:line="258" w:lineRule="auto"/>
        <w:tabs>
          <w:tab w:leader="none" w:pos="1904"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any Person (other than a Permitted Holder) or (b) Persons (other than one or more Permitted Holders) constituting a “group” (as such term is used in Sections 13(d) and 14(d) of the Exchange Act), becoming the “beneficial owner” (as defined in Rules 13(d)-3 and 13(d)-5 under the Exchange Act) (excluding any employee benefit plan of such Person and its subsidiaries, and any Person acting in its capacity as trustee, agent or other fiduciary or administrator of any such plan), directly or indirectly, of Equity Interests of Holdings representing more than forty percent (40%) of the aggregate ordinary voting power represented by the issued and outstanding Equity Interests of Holdings and the percentage of aggregate ordinary voting power so held is greater than the percentage of the aggregate ordinary voting power represented by the Equity Interests of Holdings beneficially owned, directly or indirectly, in the aggregate by the Permitted Holders (it being understood and agreed that for purposes of</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13" w:name="page114"/>
    <w:bookmarkEnd w:id="113"/>
    <w:p>
      <w:pPr>
        <w:ind w:left="760" w:right="260"/>
        <w:spacing w:after="0" w:line="269" w:lineRule="auto"/>
        <w:rPr>
          <w:sz w:val="20"/>
          <w:szCs w:val="20"/>
          <w:color w:val="auto"/>
        </w:rPr>
      </w:pPr>
      <w:r>
        <w:rPr>
          <w:rFonts w:ascii="Times New Roman" w:cs="Times New Roman" w:eastAsia="Times New Roman" w:hAnsi="Times New Roman"/>
          <w:sz w:val="20"/>
          <w:szCs w:val="20"/>
          <w:color w:val="auto"/>
        </w:rPr>
        <w:t>measuring beneficial ownership held by any Person that is not a Permitted Holder, Equity Interests held by any Permitted Holder will be excluded); or</w:t>
      </w:r>
    </w:p>
    <w:p>
      <w:pPr>
        <w:spacing w:after="0" w:line="159" w:lineRule="exact"/>
        <w:rPr>
          <w:sz w:val="20"/>
          <w:szCs w:val="20"/>
          <w:color w:val="auto"/>
        </w:rPr>
      </w:pPr>
    </w:p>
    <w:p>
      <w:pPr>
        <w:ind w:left="760" w:right="40" w:firstLine="745"/>
        <w:spacing w:after="0" w:line="269" w:lineRule="auto"/>
        <w:tabs>
          <w:tab w:leader="none" w:pos="190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ceases to be directly or indirectly wholly owned by Holdings (or any successor or Parent Company that has become a Guarantor in lieu of Holdings);</w:t>
      </w:r>
    </w:p>
    <w:p>
      <w:pPr>
        <w:spacing w:after="0" w:line="159" w:lineRule="exact"/>
        <w:rPr>
          <w:sz w:val="20"/>
          <w:szCs w:val="20"/>
          <w:color w:val="auto"/>
        </w:rPr>
      </w:pPr>
    </w:p>
    <w:p>
      <w:pPr>
        <w:ind w:left="760" w:right="20" w:firstLine="749"/>
        <w:spacing w:after="0" w:line="242" w:lineRule="auto"/>
        <w:rPr>
          <w:sz w:val="20"/>
          <w:szCs w:val="20"/>
          <w:color w:val="auto"/>
        </w:rPr>
      </w:pPr>
      <w:r>
        <w:rPr>
          <w:rFonts w:ascii="Times New Roman" w:cs="Times New Roman" w:eastAsia="Times New Roman" w:hAnsi="Times New Roman"/>
          <w:sz w:val="20"/>
          <w:szCs w:val="20"/>
          <w:color w:val="auto"/>
        </w:rPr>
        <w:t>unless, in the case of clause (1) or (2) above, the Permitted Holders have, at such time, directly or indirectly, the right or the ability by voting power, contract or otherwise to elect or designate for election at least a majority of the board of directors of the Borrower. Notwithstanding anything to the contrary herein, (x) for purposes of this definition the phrase “Person” or “group” shall exclude any employee benefit plan of such “Person” or “group” and its subsidiaries and any Person acting in its capacity as trustee, agent or other fiduciary or administrator of any such plan and (y) notwithstanding anything to the contrary in this definition or any provision of the Exchange Act, (A) a Person or group shall be deemed not to beneficially own securities subject to an equity or asset purchase agreement, merger agreement, option agreement, warrant agreement or similar agreement (or voting or option or similar agreement related thereto) until the consummation of the acquisition of the securities in connection with the transactions contemplated by such agreement and (B) a Person or group (other than Permitted Holders) will not be deemed to beneficially own Voting Stock of another Person as a result of its ownership of equity interests or other securities of such other Person’s direct or indirect parent holding companies (or related contractual rights) unless it owns more than 50% of the total voting power of the Voting Stock of such Person’s direct or indirect parent holding companies.</w:t>
      </w:r>
    </w:p>
    <w:p>
      <w:pPr>
        <w:spacing w:after="0" w:line="183" w:lineRule="exact"/>
        <w:rPr>
          <w:sz w:val="20"/>
          <w:szCs w:val="20"/>
          <w:color w:val="auto"/>
        </w:rPr>
      </w:pPr>
    </w:p>
    <w:p>
      <w:pPr>
        <w:ind w:right="40" w:firstLine="79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Charge</w:t>
      </w:r>
      <w:r>
        <w:rPr>
          <w:rFonts w:ascii="Times New Roman" w:cs="Times New Roman" w:eastAsia="Times New Roman" w:hAnsi="Times New Roman"/>
          <w:sz w:val="20"/>
          <w:szCs w:val="20"/>
          <w:color w:val="auto"/>
        </w:rPr>
        <w:t>” means any charge, fee, expense, expenditure, cost, loss, accrual, reserve of any kind and any other deduction included in the calculation of Consolidated Net Income.</w:t>
      </w:r>
    </w:p>
    <w:p>
      <w:pPr>
        <w:spacing w:after="0" w:line="152"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Class</w:t>
      </w:r>
      <w:r>
        <w:rPr>
          <w:rFonts w:ascii="Times New Roman" w:cs="Times New Roman" w:eastAsia="Times New Roman" w:hAnsi="Times New Roman"/>
          <w:sz w:val="19"/>
          <w:szCs w:val="19"/>
          <w:color w:val="auto"/>
        </w:rPr>
        <w:t>” (1) when used with respect to Lenders, refers to whether such Lenders have Loans or Commitments with respect to a particular Class of Loans or Commitments, (2) when used with respect to Commitments, refers to whether such Commitments are Closing Date Term Loan Commitments, Revolving Commitments, Incremental Revolving Commitments, Other Revolving Commitments, Incremental Term Commitments, Commitments in respect of any Class of Replacement Loans, Extended Revolving Commitments of a given Extension Series or Other Term Loan Commitments of a given Class of Other Loans, in each case not designated part of another existing Class and (3) when used with respect to Loans or a Borrowing, refers to whether such Loans, or the Loans comprising such Borrowing, are Closing Date Term Loans, Revolving Loans under the Closing Date Revolving Facility, Incremental Term Loans, Incremental Revolving Loans, Other Revolving Loans, Replacement Loans, Extended Term Loans, Loans made pursuant to Extended Revolving Commitments, or Other Term Loans, in each case not designated part of another existing Class. Commitments (and, in each case, the Loans made pursuant to such Commitments) that have different terms and conditions shall be construed to be in different Classes. Commitments (and, in each case, the Loans made pursuant to such Commitments) that have identical terms and conditions shall be construed to be in the same Class.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Clinical Facility</w:t>
      </w:r>
      <w:r>
        <w:rPr>
          <w:rFonts w:ascii="Times New Roman" w:cs="Times New Roman" w:eastAsia="Times New Roman" w:hAnsi="Times New Roman"/>
          <w:sz w:val="20"/>
          <w:szCs w:val="20"/>
          <w:color w:val="auto"/>
        </w:rPr>
        <w:t>” means any clinical facility or medical or healthcare practice owned by the Borrower or a Restricted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means December 19, 2024.</w:t>
      </w: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Loans</w:t>
      </w:r>
      <w:r>
        <w:rPr>
          <w:rFonts w:ascii="Times New Roman" w:cs="Times New Roman" w:eastAsia="Times New Roman" w:hAnsi="Times New Roman"/>
          <w:sz w:val="20"/>
          <w:szCs w:val="20"/>
          <w:color w:val="auto"/>
        </w:rPr>
        <w:t>” means the Closing Date Term Loans and any Closing Date Revolving Borrowing.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4" w:name="page115"/>
    <w:bookmarkEnd w:id="114"/>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Refinancing</w:t>
      </w:r>
      <w:r>
        <w:rPr>
          <w:rFonts w:ascii="Times New Roman" w:cs="Times New Roman" w:eastAsia="Times New Roman" w:hAnsi="Times New Roman"/>
          <w:sz w:val="20"/>
          <w:szCs w:val="20"/>
          <w:color w:val="auto"/>
        </w:rPr>
        <w:t>” means the repayment of all outstanding Indebtedness under the Existing Credit Agreement.</w:t>
      </w:r>
    </w:p>
    <w:p>
      <w:pPr>
        <w:spacing w:after="0" w:line="216"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Revolving Borrowing</w:t>
      </w:r>
      <w:r>
        <w:rPr>
          <w:rFonts w:ascii="Times New Roman" w:cs="Times New Roman" w:eastAsia="Times New Roman" w:hAnsi="Times New Roman"/>
          <w:sz w:val="20"/>
          <w:szCs w:val="20"/>
          <w:color w:val="auto"/>
        </w:rPr>
        <w:t xml:space="preserve">” means one or more Borrowings of Revolving Loans on the Closing Date, if any, pursuant to </w:t>
      </w:r>
      <w:r>
        <w:rPr>
          <w:rFonts w:ascii="Times New Roman" w:cs="Times New Roman" w:eastAsia="Times New Roman" w:hAnsi="Times New Roman"/>
          <w:sz w:val="20"/>
          <w:szCs w:val="20"/>
          <w:u w:val="single" w:color="auto"/>
          <w:color w:val="auto"/>
        </w:rPr>
        <w:t>Section 2.01(2)</w:t>
      </w:r>
      <w:r>
        <w:rPr>
          <w:rFonts w:ascii="Times New Roman" w:cs="Times New Roman" w:eastAsia="Times New Roman" w:hAnsi="Times New Roman"/>
          <w:sz w:val="20"/>
          <w:szCs w:val="20"/>
          <w:color w:val="auto"/>
        </w:rPr>
        <w:t xml:space="preserve"> in accordance with the requirements specified or referred to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without limitation, Letters of Credit may be issued on the Closing Date to backstop or replace letters of credit, bank guarantees, bankers’ acceptances or other similar instruments outstanding on the Closing Date (including deemed issuances of Letters of Credit under this Agreement resulting from an existing issuer of letters of credit, bank guarantees, bankers’ acceptances or other similar instruments outstanding on the Closing Date agreeing to become an Issuing Bank under this Agreement).</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Revolving Facility</w:t>
      </w:r>
      <w:r>
        <w:rPr>
          <w:rFonts w:ascii="Times New Roman" w:cs="Times New Roman" w:eastAsia="Times New Roman" w:hAnsi="Times New Roman"/>
          <w:sz w:val="20"/>
          <w:szCs w:val="20"/>
          <w:color w:val="auto"/>
        </w:rPr>
        <w:t>” means the Revolving Facility made available by the Revolving Lenders as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Closing Date.</w:t>
      </w:r>
    </w:p>
    <w:p>
      <w:pPr>
        <w:spacing w:after="0" w:line="190" w:lineRule="exact"/>
        <w:rPr>
          <w:sz w:val="20"/>
          <w:szCs w:val="20"/>
          <w:color w:val="auto"/>
        </w:rPr>
      </w:pPr>
    </w:p>
    <w:p>
      <w:pPr>
        <w:ind w:right="6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Term Loan Commitment</w:t>
      </w:r>
      <w:r>
        <w:rPr>
          <w:rFonts w:ascii="Times New Roman" w:cs="Times New Roman" w:eastAsia="Times New Roman" w:hAnsi="Times New Roman"/>
          <w:sz w:val="20"/>
          <w:szCs w:val="20"/>
          <w:color w:val="auto"/>
        </w:rPr>
        <w:t xml:space="preserve">” means, as to each Term Lender, its obligation to make a Closing Date Term Loan to the Borrower in an aggregate amount not to exceed the amount specified opposite such Term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“Closing Date Term Loan Commitment” or in the Assignment and Assumption (or Affiliated Lender Assignment and Assumption) pursuant to which such Term Lender becomes a party hereto, as applicable, as such amount may be adjusted from time to time in accordance with this Agreement (including pursuant to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The initial aggregate amount of the Closing Date Term Loan Commitments is $290,000,000.</w:t>
      </w:r>
    </w:p>
    <w:p>
      <w:pPr>
        <w:spacing w:after="0" w:line="179" w:lineRule="exact"/>
        <w:rPr>
          <w:sz w:val="20"/>
          <w:szCs w:val="20"/>
          <w:color w:val="auto"/>
        </w:rPr>
      </w:pPr>
    </w:p>
    <w:p>
      <w:pPr>
        <w:ind w:right="4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 Term Loans</w:t>
      </w:r>
      <w:r>
        <w:rPr>
          <w:rFonts w:ascii="Times New Roman" w:cs="Times New Roman" w:eastAsia="Times New Roman" w:hAnsi="Times New Roman"/>
          <w:sz w:val="20"/>
          <w:szCs w:val="20"/>
          <w:color w:val="auto"/>
        </w:rPr>
        <w:t xml:space="preserve">” means the Term Loans made by the Term Lenders on the Closing Date to the Borrower pursuant to </w:t>
      </w:r>
      <w:r>
        <w:rPr>
          <w:rFonts w:ascii="Times New Roman" w:cs="Times New Roman" w:eastAsia="Times New Roman" w:hAnsi="Times New Roman"/>
          <w:sz w:val="20"/>
          <w:szCs w:val="20"/>
          <w:u w:val="single" w:color="auto"/>
          <w:color w:val="auto"/>
        </w:rPr>
        <w:t>Section 2.01(1)</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U.S. Internal Revenue Code of 1986, as amended.</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Co-Investor</w:t>
      </w:r>
      <w:r>
        <w:rPr>
          <w:rFonts w:ascii="Times New Roman" w:cs="Times New Roman" w:eastAsia="Times New Roman" w:hAnsi="Times New Roman"/>
          <w:sz w:val="20"/>
          <w:szCs w:val="20"/>
          <w:color w:val="auto"/>
        </w:rPr>
        <w:t>” means each of (x) Summit Partners, L.P. and its Affiliates and (y) Silversmith Capital Partners and 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Affiliates.</w:t>
      </w:r>
    </w:p>
    <w:p>
      <w:pPr>
        <w:spacing w:after="0" w:line="190" w:lineRule="exact"/>
        <w:rPr>
          <w:sz w:val="20"/>
          <w:szCs w:val="20"/>
          <w:color w:val="auto"/>
        </w:rPr>
      </w:pPr>
    </w:p>
    <w:p>
      <w:pPr>
        <w:ind w:right="2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means all the “Collateral” (or equivalent term, including “Pledged Collateral”) as defined in any Collateral Document and the Mortgaged Properties, if any.</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has the meaning specified in the introductory paragraph to this Agreement.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and Guarantee Requirement</w:t>
      </w:r>
      <w:r>
        <w:rPr>
          <w:rFonts w:ascii="Times New Roman" w:cs="Times New Roman" w:eastAsia="Times New Roman" w:hAnsi="Times New Roman"/>
          <w:sz w:val="20"/>
          <w:szCs w:val="20"/>
          <w:color w:val="auto"/>
        </w:rPr>
        <w:t>” means, at any time, the requirement that:</w:t>
      </w:r>
    </w:p>
    <w:p>
      <w:pPr>
        <w:spacing w:after="0" w:line="220" w:lineRule="exact"/>
        <w:rPr>
          <w:sz w:val="20"/>
          <w:szCs w:val="20"/>
          <w:color w:val="auto"/>
        </w:rPr>
      </w:pPr>
    </w:p>
    <w:p>
      <w:pPr>
        <w:ind w:left="760" w:firstLine="745"/>
        <w:spacing w:after="0" w:line="249" w:lineRule="auto"/>
        <w:tabs>
          <w:tab w:leader="none" w:pos="190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Collateral Agent shall have received each Collateral Document required to be delivered (a) on the Closing Date pursuant to </w:t>
      </w:r>
      <w:r>
        <w:rPr>
          <w:rFonts w:ascii="Times New Roman" w:cs="Times New Roman" w:eastAsia="Times New Roman" w:hAnsi="Times New Roman"/>
          <w:sz w:val="20"/>
          <w:szCs w:val="20"/>
          <w:u w:val="single" w:color="auto"/>
          <w:color w:val="auto"/>
        </w:rPr>
        <w:t>Sections 4.01(1)(c)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4.01(1)(d)</w:t>
      </w:r>
      <w:r>
        <w:rPr>
          <w:rFonts w:ascii="Times New Roman" w:cs="Times New Roman" w:eastAsia="Times New Roman" w:hAnsi="Times New Roman"/>
          <w:sz w:val="20"/>
          <w:szCs w:val="20"/>
          <w:color w:val="auto"/>
        </w:rPr>
        <w:t xml:space="preserve"> or (b) pursuant to the Security Agreement or </w:t>
      </w:r>
      <w:r>
        <w:rPr>
          <w:rFonts w:ascii="Times New Roman" w:cs="Times New Roman" w:eastAsia="Times New Roman" w:hAnsi="Times New Roman"/>
          <w:sz w:val="20"/>
          <w:szCs w:val="20"/>
          <w:u w:val="single" w:color="auto"/>
          <w:color w:val="auto"/>
        </w:rPr>
        <w:t>Sections 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at such time required by the Security Agreement or by such Sections to be delivered, in each case, duly executed by each Loan Party that is party thereto;</w:t>
      </w:r>
    </w:p>
    <w:p>
      <w:pPr>
        <w:spacing w:after="0" w:line="179" w:lineRule="exact"/>
        <w:rPr>
          <w:rFonts w:ascii="Times New Roman" w:cs="Times New Roman" w:eastAsia="Times New Roman" w:hAnsi="Times New Roman"/>
          <w:sz w:val="20"/>
          <w:szCs w:val="20"/>
          <w:color w:val="auto"/>
        </w:rPr>
      </w:pPr>
    </w:p>
    <w:p>
      <w:pPr>
        <w:ind w:left="760" w:right="100" w:firstLine="745"/>
        <w:spacing w:after="0" w:line="249" w:lineRule="auto"/>
        <w:tabs>
          <w:tab w:leader="none" w:pos="190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Obligations shall have been unconditionally guaranteed by (a) Holdings (or any successor thereto), (b) each Restricted Subsidiary of the Borrower that is a wholly owned Material Subsidiary (other than any Excluded Subsidiary), which as of the Closing Date shall include those that are listed on </w:t>
      </w:r>
      <w:r>
        <w:rPr>
          <w:rFonts w:ascii="Times New Roman" w:cs="Times New Roman" w:eastAsia="Times New Roman" w:hAnsi="Times New Roman"/>
          <w:sz w:val="20"/>
          <w:szCs w:val="20"/>
          <w:u w:val="single" w:color="auto"/>
          <w:color w:val="auto"/>
        </w:rPr>
        <w:t>Schedule 1.01(1)</w:t>
      </w:r>
      <w:r>
        <w:rPr>
          <w:rFonts w:ascii="Times New Roman" w:cs="Times New Roman" w:eastAsia="Times New Roman" w:hAnsi="Times New Roman"/>
          <w:sz w:val="20"/>
          <w:szCs w:val="20"/>
          <w:color w:val="auto"/>
        </w:rPr>
        <w:t xml:space="preserve"> hereto and (c) any Restricted Subsidiary of the Borrower that Guarantees (or is the borrower or issuer of) any Credit Agreement Refinancing</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5" w:name="page116"/>
    <w:bookmarkEnd w:id="115"/>
    <w:p>
      <w:pPr>
        <w:ind w:right="620"/>
        <w:spacing w:after="0" w:line="269" w:lineRule="auto"/>
        <w:rPr>
          <w:sz w:val="20"/>
          <w:szCs w:val="20"/>
          <w:color w:val="auto"/>
        </w:rPr>
      </w:pPr>
      <w:r>
        <w:rPr>
          <w:rFonts w:ascii="Times New Roman" w:cs="Times New Roman" w:eastAsia="Times New Roman" w:hAnsi="Times New Roman"/>
          <w:sz w:val="20"/>
          <w:szCs w:val="20"/>
          <w:color w:val="auto"/>
        </w:rPr>
        <w:t xml:space="preserve">Indebtedness (the Persons in the preceding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(together with any Person joined pursuant to the Excluded Subsidiary Joinder Exception) collectively, the “</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700" w:firstLine="745"/>
        <w:spacing w:after="0" w:line="269" w:lineRule="auto"/>
        <w:tabs>
          <w:tab w:leader="none" w:pos="114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otherwise provided hereunder or under any Collateral Document, the Obligations and the Guaranty shall have been secured by a perfected security interest, subject only to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on:</w:t>
      </w:r>
    </w:p>
    <w:p>
      <w:pPr>
        <w:spacing w:after="0" w:line="159"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the Equity Interests of the Borrower,</w:t>
      </w:r>
    </w:p>
    <w:p>
      <w:pPr>
        <w:spacing w:after="0" w:line="215" w:lineRule="exact"/>
        <w:rPr>
          <w:rFonts w:ascii="Times New Roman" w:cs="Times New Roman" w:eastAsia="Times New Roman" w:hAnsi="Times New Roman"/>
          <w:sz w:val="20"/>
          <w:szCs w:val="20"/>
          <w:color w:val="auto"/>
        </w:rPr>
      </w:pPr>
    </w:p>
    <w:p>
      <w:pPr>
        <w:ind w:left="740" w:right="280" w:firstLine="754"/>
        <w:spacing w:after="0" w:line="269" w:lineRule="auto"/>
        <w:tabs>
          <w:tab w:leader="none" w:pos="188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Equity Interests of each direct, wholly owned Material Domestic Subsidiary (other than any Excluded Subsidiary) that is directly owned by any Loan Party, and</w:t>
      </w:r>
    </w:p>
    <w:p>
      <w:pPr>
        <w:spacing w:after="0" w:line="159" w:lineRule="exact"/>
        <w:rPr>
          <w:rFonts w:ascii="Times New Roman" w:cs="Times New Roman" w:eastAsia="Times New Roman" w:hAnsi="Times New Roman"/>
          <w:sz w:val="20"/>
          <w:szCs w:val="20"/>
          <w:color w:val="auto"/>
        </w:rPr>
      </w:pPr>
    </w:p>
    <w:p>
      <w:pPr>
        <w:ind w:left="740" w:right="80" w:firstLine="754"/>
        <w:spacing w:after="0" w:line="246" w:lineRule="auto"/>
        <w:tabs>
          <w:tab w:leader="none" w:pos="188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 of the issued and outstanding voting Equity Interests of each class of each (i) wholly owned Material Domestic Subsidiary that is a Foreign Subsidiary Holdco and (ii) wholly owned Material Foreign Subsidiary, in each case of clauses (i) and (ii) above, that is directly owned by a Loan Party (in each case, to the extent such Material Domestic Subsidiary or Material Foreign Subsidiary is not an Excluded Subsidiary (other than by virtue of being a Foreign Subsidiary Holdco or Foreign Subsidiary, as applicable)); and</w:t>
      </w:r>
    </w:p>
    <w:p>
      <w:pPr>
        <w:spacing w:after="0" w:line="184" w:lineRule="exact"/>
        <w:rPr>
          <w:rFonts w:ascii="Times New Roman" w:cs="Times New Roman" w:eastAsia="Times New Roman" w:hAnsi="Times New Roman"/>
          <w:sz w:val="20"/>
          <w:szCs w:val="20"/>
          <w:color w:val="auto"/>
        </w:rPr>
      </w:pPr>
    </w:p>
    <w:p>
      <w:pPr>
        <w:ind w:right="220" w:firstLine="745"/>
        <w:spacing w:after="0" w:line="245" w:lineRule="auto"/>
        <w:tabs>
          <w:tab w:leader="none" w:pos="114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otherwise provided hereunder or under any Collateral Document, including subject to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and in each case subject to exceptions and limitations otherwise set forth in this Agreement and the Collateral Documents, the Obligations and the Guaranty shall have been secured by a security interest in substantially all tangible and intangible personal property of the Borrower and each Guarantor (including accounts other than Securitization Assets), inventory, equipment, investment property, contract rights, applications and registrations of IP Rights filed in the United States, other general intangibles, and proceeds of the foregoing (in each case, other than Excluded Assets), in each case,</w:t>
      </w:r>
    </w:p>
    <w:p>
      <w:pPr>
        <w:spacing w:after="0" w:line="184"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has been perfected (to the extent such security interest may be perfected) by:</w:t>
      </w:r>
    </w:p>
    <w:p>
      <w:pPr>
        <w:spacing w:after="0" w:line="215" w:lineRule="exact"/>
        <w:rPr>
          <w:rFonts w:ascii="Times New Roman" w:cs="Times New Roman" w:eastAsia="Times New Roman" w:hAnsi="Times New Roman"/>
          <w:sz w:val="20"/>
          <w:szCs w:val="20"/>
          <w:color w:val="auto"/>
        </w:rPr>
      </w:pPr>
    </w:p>
    <w:p>
      <w:pPr>
        <w:ind w:left="1500" w:firstLine="390"/>
        <w:spacing w:after="0" w:line="243" w:lineRule="auto"/>
        <w:tabs>
          <w:tab w:leader="none" w:pos="2292"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certificated securities and instruments, in which a security interest can be perfected by physical control, in each case to the extent expressly required hereunder or the Security Agreement (which shall be limited to any promissory note in excess of $7,500,000, Indebtedness of any Restricted Subsidiary that is not a Guarantor that is owing to any Loan Party (which may be evidenced by the Intercompany Note and pledged to the Collateral Agent) and Equity Interests of the Borrower and its wholly owned Restricted Subsidiaries that are Material Subsidiaries constituting “certificated securities” (within the meaning of Article 8 of the Uniform Commercial Code) otherwise required to be pledged pursuant to the Collateral Documents to the extent required under clause (3) above),</w:t>
      </w:r>
    </w:p>
    <w:p>
      <w:pPr>
        <w:spacing w:after="0" w:line="189" w:lineRule="exact"/>
        <w:rPr>
          <w:rFonts w:ascii="Times New Roman" w:cs="Times New Roman" w:eastAsia="Times New Roman" w:hAnsi="Times New Roman"/>
          <w:sz w:val="20"/>
          <w:szCs w:val="20"/>
          <w:color w:val="auto"/>
        </w:rPr>
      </w:pPr>
    </w:p>
    <w:p>
      <w:pPr>
        <w:ind w:left="2280" w:hanging="390"/>
        <w:spacing w:after="0"/>
        <w:tabs>
          <w:tab w:leader="none" w:pos="2280"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 financing statements under the Uniform Commercial Code of any applicable jurisdiction,</w:t>
      </w:r>
    </w:p>
    <w:p>
      <w:pPr>
        <w:spacing w:after="0" w:line="215" w:lineRule="exact"/>
        <w:rPr>
          <w:rFonts w:ascii="Times New Roman" w:cs="Times New Roman" w:eastAsia="Times New Roman" w:hAnsi="Times New Roman"/>
          <w:sz w:val="20"/>
          <w:szCs w:val="20"/>
          <w:color w:val="auto"/>
        </w:rPr>
      </w:pPr>
    </w:p>
    <w:p>
      <w:pPr>
        <w:ind w:left="1500" w:right="420" w:firstLine="390"/>
        <w:spacing w:after="0" w:line="269" w:lineRule="auto"/>
        <w:tabs>
          <w:tab w:leader="none" w:pos="2292"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any necessary filings with the United States Patent and Trademark Office or United States Copyright Office, or</w:t>
      </w:r>
    </w:p>
    <w:p>
      <w:pPr>
        <w:spacing w:after="0" w:line="36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6" w:name="page117"/>
    <w:bookmarkEnd w:id="116"/>
    <w:p>
      <w:pPr>
        <w:ind w:left="2260" w:right="340" w:firstLine="650"/>
        <w:spacing w:after="0" w:line="269" w:lineRule="auto"/>
        <w:tabs>
          <w:tab w:leader="none" w:pos="3312"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filings in the applicable real estate records with respect to Mortgaged Properties (or any fixtures related to Mortgaged Properties) to the extent required by the Collateral Documents, or</w:t>
      </w:r>
    </w:p>
    <w:p>
      <w:pPr>
        <w:spacing w:after="0" w:line="155" w:lineRule="exact"/>
        <w:rPr>
          <w:rFonts w:ascii="Times New Roman" w:cs="Times New Roman" w:eastAsia="Times New Roman" w:hAnsi="Times New Roman"/>
          <w:sz w:val="20"/>
          <w:szCs w:val="20"/>
          <w:color w:val="auto"/>
        </w:rPr>
      </w:pPr>
    </w:p>
    <w:p>
      <w:pPr>
        <w:ind w:left="1500" w:right="60" w:firstLine="754"/>
        <w:spacing w:after="0" w:line="300" w:lineRule="auto"/>
        <w:tabs>
          <w:tab w:leader="none" w:pos="2644"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the priority required by the Collateral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security interests in the Collateral shall be subject to the terms of the Intercreditor Agreements to the extent expressly required by this Agreement.</w:t>
      </w:r>
    </w:p>
    <w:p>
      <w:pPr>
        <w:spacing w:after="0" w:line="132" w:lineRule="exact"/>
        <w:rPr>
          <w:rFonts w:ascii="Times New Roman" w:cs="Times New Roman" w:eastAsia="Times New Roman" w:hAnsi="Times New Roman"/>
          <w:sz w:val="19"/>
          <w:szCs w:val="19"/>
          <w:color w:val="auto"/>
        </w:rPr>
      </w:pPr>
    </w:p>
    <w:p>
      <w:pPr>
        <w:jc w:val="both"/>
        <w:ind w:left="760" w:firstLine="745"/>
        <w:spacing w:after="0" w:line="242" w:lineRule="auto"/>
        <w:tabs>
          <w:tab w:leader="none" w:pos="190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exceptions and limitations set forth in this Agreement, the Collateral Agent shall have received counterparts of a Mortgage, together with the other deliverables described in Section 6.11(2)(b), with respect to each Material Real Property listed on Schedule 1.01(2) or to the extent required to be delivered pursuant to Section 6.11 or Section 6.13 (the “</w:t>
      </w:r>
      <w:r>
        <w:rPr>
          <w:rFonts w:ascii="Times New Roman" w:cs="Times New Roman" w:eastAsia="Times New Roman" w:hAnsi="Times New Roman"/>
          <w:sz w:val="20"/>
          <w:szCs w:val="20"/>
          <w:b w:val="1"/>
          <w:bCs w:val="1"/>
          <w:color w:val="auto"/>
        </w:rPr>
        <w:t>Mortgaged Properties</w:t>
      </w:r>
      <w:r>
        <w:rPr>
          <w:rFonts w:ascii="Times New Roman" w:cs="Times New Roman" w:eastAsia="Times New Roman" w:hAnsi="Times New Roman"/>
          <w:sz w:val="20"/>
          <w:szCs w:val="20"/>
          <w:color w:val="auto"/>
        </w:rPr>
        <w:t xml:space="preserve">”) duly executed and delivered by the record owner of such property within the time periods set forth in said Sections;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to the extent any Mortgaged Property is located in a jurisdiction which imposes mortgage recording taxes, intangibles tax, documentary tax or similar recording fees or Taxes, (a) the relevant Mortgage shall not secure an amount in excess of the fair market value of the Mortgaged Property subject thereto and (b) the relevant Mortgage shall not secure the Indebtedness in respect of the Revolving Facility to the extent those jurisdictions impose such aforementioned Taxes on paydowns or re-advances applicable to such Indebtedness unless it is feasible to limit recovery to a capped amount that would not be subject to re-borrowing and (ii) no flood insurance or compliance with any Flood Insurance Laws shall be required with respect to any Mortgaged Property (other than a flood hazard determination as described in Section 6.11(2)(b)(v)).</w:t>
      </w:r>
    </w:p>
    <w:p>
      <w:pPr>
        <w:spacing w:after="0" w:line="190"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color w:val="auto"/>
        </w:rPr>
        <w:t>The foregoing definition shall not require, and the Loan Documents shall not contain any requirements as to, the creation, perfection or maintenance of pledges of, or security interests in, Mortgages on, or the obtaining of Mortgage Policies, surveys, abstracts or appraisals or taking other actions with respect to, any Excluded Assets.</w:t>
      </w:r>
    </w:p>
    <w:p>
      <w:pPr>
        <w:spacing w:after="0" w:line="174" w:lineRule="exact"/>
        <w:rPr>
          <w:sz w:val="20"/>
          <w:szCs w:val="20"/>
          <w:color w:val="auto"/>
        </w:rPr>
      </w:pPr>
    </w:p>
    <w:p>
      <w:pPr>
        <w:ind w:right="20" w:firstLine="1497"/>
        <w:spacing w:after="0" w:line="245" w:lineRule="auto"/>
        <w:rPr>
          <w:sz w:val="20"/>
          <w:szCs w:val="20"/>
          <w:color w:val="auto"/>
        </w:rPr>
      </w:pPr>
      <w:r>
        <w:rPr>
          <w:rFonts w:ascii="Times New Roman" w:cs="Times New Roman" w:eastAsia="Times New Roman" w:hAnsi="Times New Roman"/>
          <w:sz w:val="20"/>
          <w:szCs w:val="20"/>
          <w:color w:val="auto"/>
        </w:rPr>
        <w:t>The Collateral Agent may grant extensions of time for the creation, perfection or maintenance of security interests in, or the execution or delivery of any Mortgage and the obtaining of title insurance, surveys or Opinions of Counsel with respect to, particular assets (including extensions beyond the Closing Date for the creation, perfection or maintenance of security interests in the assets of the Loan Parties on such date) where it reasonably determines, in consultation with the Borrower, that creation, perfection or maintenance cannot be accomplished without undue effort or expense by the time or times at which it would otherwise be required by this Agreement or the Collateral Documents.</w:t>
      </w:r>
    </w:p>
    <w:p>
      <w:pPr>
        <w:spacing w:after="0" w:line="153" w:lineRule="exact"/>
        <w:rPr>
          <w:sz w:val="20"/>
          <w:szCs w:val="20"/>
          <w:color w:val="auto"/>
        </w:rPr>
      </w:pPr>
    </w:p>
    <w:p>
      <w:pPr>
        <w:ind w:right="80" w:firstLine="1497"/>
        <w:spacing w:after="0" w:line="237" w:lineRule="exact"/>
        <w:rPr>
          <w:sz w:val="20"/>
          <w:szCs w:val="20"/>
          <w:color w:val="auto"/>
        </w:rPr>
      </w:pPr>
      <w:r>
        <w:rPr>
          <w:rFonts w:ascii="Times New Roman" w:cs="Times New Roman" w:eastAsia="Times New Roman" w:hAnsi="Times New Roman"/>
          <w:sz w:val="20"/>
          <w:szCs w:val="20"/>
          <w:color w:val="auto"/>
        </w:rPr>
        <w:t>There shall be (I) no actions required by the Laws of any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U.S. jurisdiction under the Loan Documents in order to create any security interests in any assets or to perfect or make enforceable such security interests in any assets (including any IP Rights registered or applied for in any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U.S. jurisdiction) and (II) no Guaranties or Collateral Documents (including security agreements and pledge agreements) governed under the laws of any non-U.S. jurisdiction. Notwithstanding anything else provided in the Loan Documents, the Borrower may, in its sole discretion, elect to join any Foreign Subsidiary, any non-wholly-owned Domestic Subsidiary or any Excluded Subsidiary (other than, in each case, an Unrestricted Subsidiary) as a Guarantor subject to, in the case of a Foreign Subsidiary, (x) the jurisdiction of incorporation of such Foreign Subsidiary being reasonably satisfactory to the Administrative Agent in light of legal permissibility and the policies and procedures of the Administrative Agent and the Lenders for similarly situated companies (as reasonably determined by the Administrative Agent in consultation with the Lenders) and (y) collateral and security provisions reasonably acceptable to the Administrative Agent to be negotiated in good faith (such election to so join the “</w:t>
      </w:r>
      <w:r>
        <w:rPr>
          <w:rFonts w:ascii="Times New Roman" w:cs="Times New Roman" w:eastAsia="Times New Roman" w:hAnsi="Times New Roman"/>
          <w:sz w:val="20"/>
          <w:szCs w:val="20"/>
          <w:b w:val="1"/>
          <w:bCs w:val="1"/>
          <w:color w:val="auto"/>
        </w:rPr>
        <w:t>Excluded Subsidiary Joinder Exception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so long as no Event of Default has occurred and 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ind w:right="20"/>
        <w:spacing w:after="0" w:line="257" w:lineRule="auto"/>
        <w:rPr>
          <w:sz w:val="20"/>
          <w:szCs w:val="20"/>
          <w:color w:val="auto"/>
        </w:rPr>
      </w:pPr>
      <w:r>
        <w:rPr>
          <w:rFonts w:ascii="Times New Roman" w:cs="Times New Roman" w:eastAsia="Times New Roman" w:hAnsi="Times New Roman"/>
          <w:sz w:val="19"/>
          <w:szCs w:val="19"/>
          <w:color w:val="auto"/>
        </w:rPr>
        <w:t>continuing, the Borrower may elect to release (a “</w:t>
      </w:r>
      <w:r>
        <w:rPr>
          <w:rFonts w:ascii="Times New Roman" w:cs="Times New Roman" w:eastAsia="Times New Roman" w:hAnsi="Times New Roman"/>
          <w:sz w:val="19"/>
          <w:szCs w:val="19"/>
          <w:b w:val="1"/>
          <w:bCs w:val="1"/>
          <w:color w:val="auto"/>
        </w:rPr>
        <w:t>Guarantor Release Election</w:t>
      </w:r>
      <w:r>
        <w:rPr>
          <w:rFonts w:ascii="Times New Roman" w:cs="Times New Roman" w:eastAsia="Times New Roman" w:hAnsi="Times New Roman"/>
          <w:sz w:val="19"/>
          <w:szCs w:val="19"/>
          <w:color w:val="auto"/>
        </w:rPr>
        <w:t>”) any such Foreign Subsidiary, non-wholly-owned Domestic Subsidiary or Excluded Subsidiary (a “</w:t>
      </w:r>
      <w:r>
        <w:rPr>
          <w:rFonts w:ascii="Times New Roman" w:cs="Times New Roman" w:eastAsia="Times New Roman" w:hAnsi="Times New Roman"/>
          <w:sz w:val="19"/>
          <w:szCs w:val="19"/>
          <w:b w:val="1"/>
          <w:bCs w:val="1"/>
          <w:color w:val="auto"/>
        </w:rPr>
        <w:t>Released Subsidiary</w:t>
      </w:r>
      <w:r>
        <w:rPr>
          <w:rFonts w:ascii="Times New Roman" w:cs="Times New Roman" w:eastAsia="Times New Roman" w:hAnsi="Times New Roman"/>
          <w:sz w:val="19"/>
          <w:szCs w:val="19"/>
          <w:color w:val="auto"/>
        </w:rPr>
        <w:t>”) from its obligations as a Guarantor in its sole discretion (so long as such release (A) shall be subject to the Borrower or its Restricted Subsidiaries having capacity to make an Investment in such Released Subsidiary once it is no longer a Guarantor and shall be deemed an Investment in such Released Subsidiary, (B) shall be subject to such Released Subsidiary having capacity to incur any Indebtedness or Liens once it is no longer a Guarantor (determined at the time of such release)) and</w:t>
      </w:r>
    </w:p>
    <w:p>
      <w:pPr>
        <w:spacing w:after="0" w:line="4" w:lineRule="exact"/>
        <w:rPr>
          <w:sz w:val="20"/>
          <w:szCs w:val="20"/>
          <w:color w:val="auto"/>
        </w:rPr>
      </w:pPr>
    </w:p>
    <w:p>
      <w:pPr>
        <w:ind w:firstLine="8"/>
        <w:spacing w:after="0"/>
        <w:tabs>
          <w:tab w:leader="none" w:pos="31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be subject to such Released Subsidiary not owning or exclusively licensing any Material Intellectual Property) (it being understood and agreed that such right to elect to release any such Foreign Subsidiary, non-wholly-owned Domestic Subsidiary or Excluded Subsidiary in accordance with the immediately preceding clauses (A), (B) and (C) shall be in addition to any other right to release any such Foreign Subsidiary, non-wholly-owned Domestic Subsidiary or Excluded Subsidiary from its obligations as a Guarantor pursuant to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that to the extent any Foreign Subsidiary is joined pursuant to the Excluded Subsidiary Joinder Exception, any requirements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this Collateral and Guarantee Requirement and any related provisions under the Loan Documents as applied to such Foreign Subsidiary (solely to the extent any such provision would not otherwise have applied in respect of such Foreign Subsidiary if it were a Restricted Subsidiary that did not constitute a Loan Party) may be modified (including with respect to the addition of “agreed security principles” or other customary limitations applicable to the provision of guarantees and collateral in the applicable non-U.S. jurisdiction and providing for the granting of collateral customary for secured financings in such non-U.S. jurisdiction) as reasonably determined by the Borrower and the Administrative Agent.</w:t>
      </w:r>
    </w:p>
    <w:p>
      <w:pPr>
        <w:spacing w:after="0" w:line="189" w:lineRule="exact"/>
        <w:rPr>
          <w:sz w:val="20"/>
          <w:szCs w:val="20"/>
          <w:color w:val="auto"/>
        </w:rPr>
      </w:pPr>
    </w:p>
    <w:p>
      <w:pPr>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No perfection through control agreements or perfection by “control” shall be required with respect to any assets (other than to the extent required under </w:t>
      </w:r>
      <w:r>
        <w:rPr>
          <w:rFonts w:ascii="Times New Roman" w:cs="Times New Roman" w:eastAsia="Times New Roman" w:hAnsi="Times New Roman"/>
          <w:sz w:val="20"/>
          <w:szCs w:val="20"/>
          <w:u w:val="single" w:color="auto"/>
          <w:color w:val="auto"/>
        </w:rPr>
        <w:t>clause (4)(a)(i)</w:t>
      </w:r>
      <w:r>
        <w:rPr>
          <w:rFonts w:ascii="Times New Roman" w:cs="Times New Roman" w:eastAsia="Times New Roman" w:hAnsi="Times New Roman"/>
          <w:sz w:val="20"/>
          <w:szCs w:val="20"/>
          <w:color w:val="auto"/>
        </w:rPr>
        <w:t xml:space="preserve"> above) under the Loan Documents. There shall be no (x) requirement to obtain any landlord waivers, estoppels, collateral access letters or similar rights and agreements or (y) requirement to perfect a security interest in any letter of credit rights, other than by the filing of a UCC financing statement.</w:t>
      </w:r>
    </w:p>
    <w:p>
      <w:pPr>
        <w:spacing w:after="0" w:line="176" w:lineRule="exact"/>
        <w:rPr>
          <w:sz w:val="20"/>
          <w:szCs w:val="20"/>
          <w:color w:val="auto"/>
        </w:rPr>
      </w:pPr>
    </w:p>
    <w:p>
      <w:pPr>
        <w:ind w:right="6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xml:space="preserve">” means, collectively, the Security Agreement, the Intellectual Property Security Agreements, the Mortgages (if any), each of the collateral assignments, security agreements, pledge agreements or other similar agreements delivered to the Administrative Agent, Collateral Agent or the Lenders pursuant to </w:t>
      </w:r>
      <w:r>
        <w:rPr>
          <w:rFonts w:ascii="Times New Roman" w:cs="Times New Roman" w:eastAsia="Times New Roman" w:hAnsi="Times New Roman"/>
          <w:sz w:val="20"/>
          <w:szCs w:val="20"/>
          <w:u w:val="single" w:color="auto"/>
          <w:color w:val="auto"/>
        </w:rPr>
        <w:t>Sections 4.01(1)(c)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4.01(1)(d)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and each of the other agreements, instruments or documents that creates or purports to create a Lien in favor of the Collateral Agent for the benefit of the Secured Parties.</w:t>
      </w:r>
    </w:p>
    <w:p>
      <w:pPr>
        <w:spacing w:after="0" w:line="180" w:lineRule="exact"/>
        <w:rPr>
          <w:sz w:val="20"/>
          <w:szCs w:val="20"/>
          <w:color w:val="auto"/>
        </w:rPr>
      </w:pPr>
    </w:p>
    <w:p>
      <w:pPr>
        <w:jc w:val="both"/>
        <w:ind w:right="660" w:firstLine="1497"/>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Commitment</w:t>
      </w:r>
      <w:r>
        <w:rPr>
          <w:rFonts w:ascii="Times New Roman" w:cs="Times New Roman" w:eastAsia="Times New Roman" w:hAnsi="Times New Roman"/>
          <w:sz w:val="19"/>
          <w:szCs w:val="19"/>
          <w:color w:val="auto"/>
        </w:rPr>
        <w:t>” means a Revolving Commitment, Incremental Revolving Commitment, Closing Date Term Loan Commitment, Incremental Term Commitment, Other Revolving Commitment, Other Term Loan Commitment, Extended Revolving Commitment of a given Extension Series, or any commitment in respect of Replacement Loans, as the context may require.</w:t>
      </w:r>
    </w:p>
    <w:p>
      <w:pPr>
        <w:spacing w:after="0" w:line="151" w:lineRule="exact"/>
        <w:rPr>
          <w:sz w:val="20"/>
          <w:szCs w:val="20"/>
          <w:color w:val="auto"/>
        </w:rPr>
      </w:pPr>
    </w:p>
    <w:p>
      <w:pPr>
        <w:ind w:right="1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 Fee Rate</w:t>
      </w:r>
      <w:r>
        <w:rPr>
          <w:rFonts w:ascii="Times New Roman" w:cs="Times New Roman" w:eastAsia="Times New Roman" w:hAnsi="Times New Roman"/>
          <w:sz w:val="20"/>
          <w:szCs w:val="20"/>
          <w:color w:val="auto"/>
        </w:rPr>
        <w:t>” means a percentage per annum equal to the Applicable Rate set forth in the “Commitment Fee Rate” column of the chart in the definition of “Applicable Rate.”</w:t>
      </w:r>
    </w:p>
    <w:p>
      <w:pPr>
        <w:spacing w:after="0" w:line="152"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Committed Loan Notice</w:t>
      </w:r>
      <w:r>
        <w:rPr>
          <w:rFonts w:ascii="Times New Roman" w:cs="Times New Roman" w:eastAsia="Times New Roman" w:hAnsi="Times New Roman"/>
          <w:sz w:val="20"/>
          <w:szCs w:val="20"/>
          <w:color w:val="auto"/>
        </w:rPr>
        <w:t xml:space="preserve">” means a notice of (1) a Borrowing with respect to a given Class of Loans, (2) a conversion of Loans of a given Class from one Type to the other or (3) a continuation of Term Benchmark Rate Loans of a given Class,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2.02(1)</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or such other form as may be approved by the Administrative Agent and the Borrower (including any form on an electronic platform or electronic transmission system as shall be approved by the Administrative Agent), appropriately completed and signed by a Responsible Officer of the Borrower.</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18" w:name="page119"/>
    <w:bookmarkEnd w:id="118"/>
    <w:p>
      <w:pPr>
        <w:ind w:right="1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Commodity Exchange Act</w:t>
      </w:r>
      <w:r>
        <w:rPr>
          <w:rFonts w:ascii="Times New Roman" w:cs="Times New Roman" w:eastAsia="Times New Roman" w:hAnsi="Times New Roman"/>
          <w:sz w:val="20"/>
          <w:szCs w:val="20"/>
          <w:color w:val="auto"/>
        </w:rPr>
        <w:t>” means the Commodity Exchange Act (7 U.S.C. §1 et seq.), as amended from time to time and any successor statute.</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Compensation Period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and which certificate shall in any event be a certificate of a Financial Officer of the Borrower:</w:t>
      </w:r>
    </w:p>
    <w:p>
      <w:pPr>
        <w:spacing w:after="0" w:line="156" w:lineRule="exact"/>
        <w:rPr>
          <w:sz w:val="20"/>
          <w:szCs w:val="20"/>
          <w:color w:val="auto"/>
        </w:rPr>
      </w:pPr>
    </w:p>
    <w:p>
      <w:pPr>
        <w:ind w:left="760" w:right="40" w:firstLine="745"/>
        <w:spacing w:after="0" w:line="254"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certifying as to whether a Default has occurred and is continuing and, if applicable, specifying the details thereof and any action taken or proposed to be taken with respect thereto (in each case, other than any Default with respect to which the Administrative Agent has otherwise obtained notice in accordance with </w:t>
      </w:r>
      <w:r>
        <w:rPr>
          <w:rFonts w:ascii="Times New Roman" w:cs="Times New Roman" w:eastAsia="Times New Roman" w:hAnsi="Times New Roman"/>
          <w:sz w:val="20"/>
          <w:szCs w:val="20"/>
          <w:u w:val="single" w:color="auto"/>
          <w:color w:val="auto"/>
        </w:rPr>
        <w:t>Section 6.03(1)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60" w:right="220" w:firstLine="745"/>
        <w:spacing w:after="0" w:line="246"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financial statements delivered under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setting forth reasonably detailed calculations of the Net Proceeds received during the applicable period (after the Closing Date in the case of the fiscal year ending December 31, 2024) by or on behalf of the Borrower or any Restricted Subsidiary in respect of any Asset Sale or Casualty Event subject to prepayment pursuant to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 xml:space="preserve"> and the portion of such Net Proceeds that has been invested or is intended to be reinvested in accordance with </w:t>
      </w:r>
      <w:r>
        <w:rPr>
          <w:rFonts w:ascii="Times New Roman" w:cs="Times New Roman" w:eastAsia="Times New Roman" w:hAnsi="Times New Roman"/>
          <w:sz w:val="20"/>
          <w:szCs w:val="20"/>
          <w:u w:val="single" w:color="auto"/>
          <w:color w:val="auto"/>
        </w:rPr>
        <w:t>Section 2.05(2)(b)(ii)</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ind w:left="760" w:right="400" w:firstLine="745"/>
        <w:spacing w:after="0" w:line="269"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with the fiscal quarter ending March 31, 2025, setting forth a calculation of the Total Net Leverage Ratio and the Interest Coverage Ratio, in each case, as of the last day of the most recently ended Test Period.</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Conforming Accounting Report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4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Depreciation and Amortization Expense</w:t>
      </w:r>
      <w:r>
        <w:rPr>
          <w:rFonts w:ascii="Times New Roman" w:cs="Times New Roman" w:eastAsia="Times New Roman" w:hAnsi="Times New Roman"/>
          <w:sz w:val="20"/>
          <w:szCs w:val="20"/>
          <w:color w:val="auto"/>
        </w:rPr>
        <w:t>” means, with respect to any Person for any period, the total amount of depreciation and amortization expense of such Person and its Restricted Subsidiaries, including the amortization of intangible assets, deferred financing fees, debt issuance costs, commissions, fees and expenses and the amortization of Capitalized Software Expenditures of such Person and its Restricted Subsidiaries for such period on a consolidated basis and otherwise determined in accordance with GAAP.</w:t>
      </w:r>
    </w:p>
    <w:p>
      <w:pPr>
        <w:spacing w:after="0" w:line="180" w:lineRule="exact"/>
        <w:rPr>
          <w:sz w:val="20"/>
          <w:szCs w:val="20"/>
          <w:color w:val="auto"/>
        </w:rPr>
      </w:pPr>
    </w:p>
    <w:p>
      <w:pPr>
        <w:ind w:right="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EBITDA</w:t>
      </w:r>
      <w:r>
        <w:rPr>
          <w:rFonts w:ascii="Times New Roman" w:cs="Times New Roman" w:eastAsia="Times New Roman" w:hAnsi="Times New Roman"/>
          <w:sz w:val="20"/>
          <w:szCs w:val="20"/>
          <w:color w:val="auto"/>
        </w:rPr>
        <w:t>” means, with respect to any Person for any period, the Consolidated Net Income of such Person and its Restricted Subsidiaries for such period:</w:t>
      </w:r>
    </w:p>
    <w:p>
      <w:pPr>
        <w:spacing w:after="0" w:line="156" w:lineRule="exact"/>
        <w:rPr>
          <w:sz w:val="20"/>
          <w:szCs w:val="20"/>
          <w:color w:val="auto"/>
        </w:rPr>
      </w:pPr>
    </w:p>
    <w:p>
      <w:pPr>
        <w:ind w:left="760" w:right="480" w:firstLine="745"/>
        <w:spacing w:after="0" w:line="269" w:lineRule="auto"/>
        <w:tabs>
          <w:tab w:leader="none" w:pos="190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(without duplication) by the following, in each case (other than clauses (h), (l), (p), (q), (r), (s) and (t) below) to the extent deducted (and not added back) in determining Consolidated Net Income for such period:</w:t>
      </w:r>
    </w:p>
    <w:p>
      <w:pPr>
        <w:spacing w:after="0" w:line="159" w:lineRule="exact"/>
        <w:rPr>
          <w:rFonts w:ascii="Times New Roman" w:cs="Times New Roman" w:eastAsia="Times New Roman" w:hAnsi="Times New Roman"/>
          <w:sz w:val="20"/>
          <w:szCs w:val="20"/>
          <w:color w:val="auto"/>
        </w:rPr>
      </w:pPr>
    </w:p>
    <w:p>
      <w:pPr>
        <w:ind w:left="1500" w:firstLine="754"/>
        <w:spacing w:after="0" w:line="246" w:lineRule="auto"/>
        <w:tabs>
          <w:tab w:leader="none" w:pos="264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interest expense and, to the extent not reflected in such total interest expense, any losses on Hedging Obligations or other derivative instruments entered into for the purpose of hedging interest rate risk, net of interest income and gains on such Hedging Obligations or such derivative instruments, and bank and letter of credit fees, letter of guarantee and bankers’ acceptance fees and costs of surety bonds in connection with financing activities, together with items excluded from the definition of “Consolidated Interest Expense” pursuant to the definition thereof; </w:t>
      </w:r>
      <w:r>
        <w:rPr>
          <w:rFonts w:ascii="Times New Roman" w:cs="Times New Roman" w:eastAsia="Times New Roman" w:hAnsi="Times New Roman"/>
          <w:sz w:val="20"/>
          <w:szCs w:val="20"/>
          <w:i w:val="1"/>
          <w:iCs w:val="1"/>
          <w:color w:val="auto"/>
        </w:rPr>
        <w:t>plus</w:t>
      </w:r>
    </w:p>
    <w:p>
      <w:pPr>
        <w:spacing w:after="0" w:line="184" w:lineRule="exact"/>
        <w:rPr>
          <w:rFonts w:ascii="Times New Roman" w:cs="Times New Roman" w:eastAsia="Times New Roman" w:hAnsi="Times New Roman"/>
          <w:sz w:val="20"/>
          <w:szCs w:val="20"/>
          <w:color w:val="auto"/>
        </w:rPr>
      </w:pPr>
    </w:p>
    <w:p>
      <w:pPr>
        <w:ind w:left="1500" w:right="220" w:firstLine="754"/>
        <w:spacing w:after="0" w:line="254" w:lineRule="auto"/>
        <w:tabs>
          <w:tab w:leader="none" w:pos="264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for taxes based on income, profits, revenue, capital or number of employees (but excluding, for the avoidance of doubt, payroll taxes), including federal, foreign and state income, franchise, excise, value added and similar Taxes, property taxes</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19" w:name="page120"/>
    <w:bookmarkEnd w:id="119"/>
    <w:p>
      <w:pPr>
        <w:jc w:val="both"/>
        <w:ind w:left="380" w:right="140"/>
        <w:spacing w:after="0" w:line="266" w:lineRule="auto"/>
        <w:rPr>
          <w:sz w:val="20"/>
          <w:szCs w:val="20"/>
          <w:color w:val="auto"/>
        </w:rPr>
      </w:pPr>
      <w:r>
        <w:rPr>
          <w:rFonts w:ascii="Times New Roman" w:cs="Times New Roman" w:eastAsia="Times New Roman" w:hAnsi="Times New Roman"/>
          <w:sz w:val="19"/>
          <w:szCs w:val="19"/>
          <w:color w:val="auto"/>
        </w:rPr>
        <w:t xml:space="preserve">and similar taxes, and foreign withholding Taxes paid or accrued during such period (including any future Taxes or other levies that replace or are intended to be in lieu of taxes, and any penalties and interest related to Taxes or arising from tax examinations) and the net tax expense associated with any adjustments made pursuant to the definition of “Consolidated Net Income,” and any payments to a Parent Company in respect of such taxes permitted to be made hereunder; </w:t>
      </w:r>
      <w:r>
        <w:rPr>
          <w:rFonts w:ascii="Times New Roman" w:cs="Times New Roman" w:eastAsia="Times New Roman" w:hAnsi="Times New Roman"/>
          <w:sz w:val="19"/>
          <w:szCs w:val="19"/>
          <w:i w:val="1"/>
          <w:iCs w:val="1"/>
          <w:color w:val="auto"/>
        </w:rPr>
        <w:t>plus</w:t>
      </w:r>
    </w:p>
    <w:p>
      <w:pPr>
        <w:spacing w:after="0" w:line="161" w:lineRule="exact"/>
        <w:rPr>
          <w:sz w:val="20"/>
          <w:szCs w:val="20"/>
          <w:color w:val="auto"/>
        </w:rPr>
      </w:pPr>
    </w:p>
    <w:p>
      <w:pPr>
        <w:ind w:left="1520" w:hanging="386"/>
        <w:spacing w:after="0"/>
        <w:tabs>
          <w:tab w:leader="none" w:pos="15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Depreciation and Amortization Expense for such period; </w:t>
      </w:r>
      <w:r>
        <w:rPr>
          <w:rFonts w:ascii="Times New Roman" w:cs="Times New Roman" w:eastAsia="Times New Roman" w:hAnsi="Times New Roman"/>
          <w:sz w:val="20"/>
          <w:szCs w:val="20"/>
          <w:i w:val="1"/>
          <w:iCs w:val="1"/>
          <w:color w:val="auto"/>
        </w:rPr>
        <w:t>plus</w:t>
      </w:r>
    </w:p>
    <w:p>
      <w:pPr>
        <w:spacing w:after="0" w:line="219" w:lineRule="exact"/>
        <w:rPr>
          <w:rFonts w:ascii="Times New Roman" w:cs="Times New Roman" w:eastAsia="Times New Roman" w:hAnsi="Times New Roman"/>
          <w:sz w:val="20"/>
          <w:szCs w:val="20"/>
          <w:color w:val="auto"/>
        </w:rPr>
      </w:pPr>
    </w:p>
    <w:p>
      <w:pPr>
        <w:ind w:left="380" w:right="20" w:firstLine="754"/>
        <w:spacing w:after="0" w:line="242" w:lineRule="auto"/>
        <w:tabs>
          <w:tab w:leader="none" w:pos="152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non-cash Charges, including any write-offs or write-downs reducing Consolidated Net Income for such period, changes in reserves for earnouts and similar obligations and any non-cash expense relating to the vesting of warrants or other equity investments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such non-cash charges represent an accrual or reserve for potential cash items in any future period, (i) the Borrower in its sole discretion may determine not to add back such non-cash Charge in the current period and (ii) to the extent the Borrower does decide to add back such non-cash Charge, the cash payment in respect thereof, with the exception of any cash payments related to the settlement of deferred compensation balances awarded prior to the Closing Date, in such future period shall be subtracted from Consolidated EBITDA to such extent, and excluding amortization of a prepaid cash item that was paid in a prior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write-downs or write-offs of Third Party Payor accounts receivable otherwise included in Consolidated Net Income for such Test Period be permitted to be added back under this clause (d); </w:t>
      </w:r>
      <w:r>
        <w:rPr>
          <w:rFonts w:ascii="Times New Roman" w:cs="Times New Roman" w:eastAsia="Times New Roman" w:hAnsi="Times New Roman"/>
          <w:sz w:val="20"/>
          <w:szCs w:val="20"/>
          <w:i w:val="1"/>
          <w:iCs w:val="1"/>
          <w:color w:val="auto"/>
        </w:rPr>
        <w:t>plus</w:t>
      </w:r>
    </w:p>
    <w:p>
      <w:pPr>
        <w:spacing w:after="0" w:line="192" w:lineRule="exact"/>
        <w:rPr>
          <w:rFonts w:ascii="Times New Roman" w:cs="Times New Roman" w:eastAsia="Times New Roman" w:hAnsi="Times New Roman"/>
          <w:sz w:val="20"/>
          <w:szCs w:val="20"/>
          <w:color w:val="auto"/>
        </w:rPr>
      </w:pPr>
    </w:p>
    <w:p>
      <w:pPr>
        <w:ind w:left="380" w:right="120" w:firstLine="754"/>
        <w:spacing w:after="0" w:line="249" w:lineRule="auto"/>
        <w:tabs>
          <w:tab w:leader="none" w:pos="152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Charges consisting of income attributable to minority interests and non-controlling interests of third parties in any non-wholly-owned Restricted Subsidiary, excluding cash distributions in respect thereof, and the amount of any reductions in arriving at Consolidated Net Income resulting from the application of Accounting Standards Codification Topic No.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p>
    <w:p>
      <w:pPr>
        <w:spacing w:after="0" w:line="179" w:lineRule="exact"/>
        <w:rPr>
          <w:rFonts w:ascii="Times New Roman" w:cs="Times New Roman" w:eastAsia="Times New Roman" w:hAnsi="Times New Roman"/>
          <w:sz w:val="20"/>
          <w:szCs w:val="20"/>
          <w:color w:val="auto"/>
        </w:rPr>
      </w:pPr>
    </w:p>
    <w:p>
      <w:pPr>
        <w:ind w:left="380" w:firstLine="754"/>
        <w:spacing w:after="0" w:line="259" w:lineRule="auto"/>
        <w:tabs>
          <w:tab w:leader="none" w:pos="152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the amount of (x) board of director fees and expense reimbursement (including to independent board members) and (y) any management, monitoring, consulting, transaction, advisory and other fees (including transaction and termination fees) and indemnities and expenses paid or accrued in such period to the Sponsor or any Co-Investor or otherwise to the extent permitted under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xml:space="preserve"> and (ii) the amount of payments made to optionholders of such Person or any Parent Company in connection with, or as a result of, any distribution being made to equityholders of such Person or its Parent Companies, which payments are being made to compensate such optionholders as though they were equityholders at the time of, and entitled to share in, such distribution, in each case to the extent permitted hereunder; </w:t>
      </w:r>
      <w:r>
        <w:rPr>
          <w:rFonts w:ascii="Times New Roman" w:cs="Times New Roman" w:eastAsia="Times New Roman" w:hAnsi="Times New Roman"/>
          <w:sz w:val="19"/>
          <w:szCs w:val="19"/>
          <w:i w:val="1"/>
          <w:iCs w:val="1"/>
          <w:color w:val="auto"/>
        </w:rPr>
        <w:t>plus</w:t>
      </w:r>
    </w:p>
    <w:p>
      <w:pPr>
        <w:spacing w:after="0" w:line="172" w:lineRule="exact"/>
        <w:rPr>
          <w:rFonts w:ascii="Times New Roman" w:cs="Times New Roman" w:eastAsia="Times New Roman" w:hAnsi="Times New Roman"/>
          <w:sz w:val="19"/>
          <w:szCs w:val="19"/>
          <w:color w:val="auto"/>
        </w:rPr>
      </w:pPr>
    </w:p>
    <w:p>
      <w:pPr>
        <w:ind w:left="380" w:right="140" w:firstLine="754"/>
        <w:spacing w:after="0" w:line="269" w:lineRule="auto"/>
        <w:tabs>
          <w:tab w:leader="none" w:pos="152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Charges, including any loss or discount, related to the sale of receivables, Securitization Assets and related assets to any Securitization Subsidiary in connection with a Qualified Securitization Facility; </w:t>
      </w:r>
      <w:r>
        <w:rPr>
          <w:rFonts w:ascii="Times New Roman" w:cs="Times New Roman" w:eastAsia="Times New Roman" w:hAnsi="Times New Roman"/>
          <w:sz w:val="20"/>
          <w:szCs w:val="20"/>
          <w:i w:val="1"/>
          <w:iCs w:val="1"/>
          <w:color w:val="auto"/>
        </w:rPr>
        <w:t>plus</w:t>
      </w:r>
    </w:p>
    <w:p>
      <w:pPr>
        <w:spacing w:after="0" w:line="159" w:lineRule="exact"/>
        <w:rPr>
          <w:rFonts w:ascii="Times New Roman" w:cs="Times New Roman" w:eastAsia="Times New Roman" w:hAnsi="Times New Roman"/>
          <w:sz w:val="20"/>
          <w:szCs w:val="20"/>
          <w:color w:val="auto"/>
        </w:rPr>
      </w:pPr>
    </w:p>
    <w:p>
      <w:pPr>
        <w:ind w:left="380" w:right="40" w:firstLine="754"/>
        <w:spacing w:after="0" w:line="249" w:lineRule="auto"/>
        <w:tabs>
          <w:tab w:leader="none" w:pos="152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receipts (or any netting arrangements resulting in reduced cash Charges) not representing Consolidated EBITDA or Consolidated Net Income in any prior period to the extent non-cash gains relating to such income were deducted in the calculation of Consolidated EBITDA pursuant to clause (2) below for any previous period and not added back; </w:t>
      </w:r>
      <w:r>
        <w:rPr>
          <w:rFonts w:ascii="Times New Roman" w:cs="Times New Roman" w:eastAsia="Times New Roman" w:hAnsi="Times New Roman"/>
          <w:sz w:val="20"/>
          <w:szCs w:val="20"/>
          <w:i w:val="1"/>
          <w:iCs w:val="1"/>
          <w:color w:val="auto"/>
        </w:rPr>
        <w:t>plus</w:t>
      </w:r>
    </w:p>
    <w:p>
      <w:pPr>
        <w:spacing w:after="0" w:line="3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0" w:name="page121"/>
    <w:bookmarkEnd w:id="120"/>
    <w:p>
      <w:pPr>
        <w:ind w:left="380" w:right="200" w:firstLine="754"/>
        <w:spacing w:after="0" w:line="249" w:lineRule="auto"/>
        <w:tabs>
          <w:tab w:leader="none" w:pos="152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Charges pursuant to any management equity plan, stock option plan or any other management or employee benefit plan, agreement or any stock subscription or shareholder agreement, to the extent that such costs or expenses are funded with cash proceeds contributed to the capital of such Person or net cash proceeds of an issuance of Equity Interests of such Person (other than Disqualified Stock); </w:t>
      </w:r>
      <w:r>
        <w:rPr>
          <w:rFonts w:ascii="Times New Roman" w:cs="Times New Roman" w:eastAsia="Times New Roman" w:hAnsi="Times New Roman"/>
          <w:sz w:val="20"/>
          <w:szCs w:val="20"/>
          <w:i w:val="1"/>
          <w:iCs w:val="1"/>
          <w:color w:val="auto"/>
        </w:rPr>
        <w:t>plus</w:t>
      </w:r>
    </w:p>
    <w:p>
      <w:pPr>
        <w:spacing w:after="0" w:line="179" w:lineRule="exact"/>
        <w:rPr>
          <w:rFonts w:ascii="Times New Roman" w:cs="Times New Roman" w:eastAsia="Times New Roman" w:hAnsi="Times New Roman"/>
          <w:sz w:val="20"/>
          <w:szCs w:val="20"/>
          <w:color w:val="auto"/>
        </w:rPr>
      </w:pPr>
    </w:p>
    <w:p>
      <w:pPr>
        <w:ind w:left="380" w:firstLine="754"/>
        <w:spacing w:after="0" w:line="249" w:lineRule="auto"/>
        <w:tabs>
          <w:tab w:leader="none" w:pos="152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net pension or other post-employment benefit Charges representing amortization of unrecognized prior service costs, actuarial losses, including amortization of such amounts arising in prior periods, amortization of the unrecognized net obligation (and loss or cost) existing at the date of initial application of </w:t>
      </w:r>
      <w:r>
        <w:rPr>
          <w:rFonts w:ascii="Times New Roman" w:cs="Times New Roman" w:eastAsia="Times New Roman" w:hAnsi="Times New Roman"/>
          <w:sz w:val="20"/>
          <w:szCs w:val="20"/>
          <w:i w:val="1"/>
          <w:iCs w:val="1"/>
          <w:color w:val="auto"/>
        </w:rPr>
        <w:t>FASB Accounting Standards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Codification Topic 715—Compensation—Retirement Benefits</w:t>
      </w:r>
      <w:r>
        <w:rPr>
          <w:rFonts w:ascii="Times New Roman" w:cs="Times New Roman" w:eastAsia="Times New Roman" w:hAnsi="Times New Roman"/>
          <w:sz w:val="20"/>
          <w:szCs w:val="20"/>
          <w:color w:val="auto"/>
        </w:rPr>
        <w:t>, and any other items of a similar nature,</w:t>
      </w:r>
      <w:r>
        <w:rPr>
          <w:rFonts w:ascii="Times New Roman" w:cs="Times New Roman" w:eastAsia="Times New Roman" w:hAnsi="Times New Roman"/>
          <w:sz w:val="20"/>
          <w:szCs w:val="20"/>
          <w:i w:val="1"/>
          <w:iCs w:val="1"/>
          <w:color w:val="auto"/>
        </w:rPr>
        <w:t xml:space="preserve"> plus</w:t>
      </w:r>
    </w:p>
    <w:p>
      <w:pPr>
        <w:spacing w:after="0" w:line="179" w:lineRule="exact"/>
        <w:rPr>
          <w:rFonts w:ascii="Times New Roman" w:cs="Times New Roman" w:eastAsia="Times New Roman" w:hAnsi="Times New Roman"/>
          <w:sz w:val="20"/>
          <w:szCs w:val="20"/>
          <w:color w:val="auto"/>
        </w:rPr>
      </w:pPr>
    </w:p>
    <w:p>
      <w:pPr>
        <w:ind w:left="380" w:right="120" w:firstLine="754"/>
        <w:spacing w:after="0" w:line="269" w:lineRule="auto"/>
        <w:tabs>
          <w:tab w:leader="none" w:pos="152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earnout obligation expense incurred in connection with (including adjustments thereto) any acquisitions and Investments, whether consummated prior to or after the Closing Date; </w:t>
      </w:r>
      <w:r>
        <w:rPr>
          <w:rFonts w:ascii="Times New Roman" w:cs="Times New Roman" w:eastAsia="Times New Roman" w:hAnsi="Times New Roman"/>
          <w:sz w:val="20"/>
          <w:szCs w:val="20"/>
          <w:i w:val="1"/>
          <w:iCs w:val="1"/>
          <w:color w:val="auto"/>
        </w:rPr>
        <w:t>plus</w:t>
      </w:r>
    </w:p>
    <w:p>
      <w:pPr>
        <w:spacing w:after="0" w:line="127" w:lineRule="exact"/>
        <w:rPr>
          <w:rFonts w:ascii="Times New Roman" w:cs="Times New Roman" w:eastAsia="Times New Roman" w:hAnsi="Times New Roman"/>
          <w:sz w:val="20"/>
          <w:szCs w:val="20"/>
          <w:color w:val="auto"/>
        </w:rPr>
      </w:pPr>
    </w:p>
    <w:p>
      <w:pPr>
        <w:ind w:left="380" w:firstLine="754"/>
        <w:spacing w:after="0" w:line="234" w:lineRule="exact"/>
        <w:tabs>
          <w:tab w:leader="none" w:pos="152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“run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rate” cost savings, synergies (excluding any revenue-based synergies) and operating expense reductions resulting from, or related to, mergers and other business combinations, acquisitions, investments, divestitures, dispositions, discontinuance of activities or operations, the consolidation or closing of locations and other specified transactions (including, for the avoidance of doubt, acquisitions occurring prior to the Closing Date), restructurings, cost savings initiatives, operating enhancements, operating improvements and other operational changes, and other initiatives that are reasonably identifiable and projected by the Borrower in good faith to result from actions either taken or with respect to which substantial steps have been taken or are expected to be taken (in the good faith determination of the Borrower) within 18 months after such merger or other business combination, acquisition, investment, divestiture, disposition, discontinuance of activities or operations or other specified transaction, restructuring, cost savings initiative, operating enhancement, operating improvement, other operational changes or other initiative is consummated (or the underlying action or transaction (or undertaken or implemented prior to consummation of the acquisition or other applicable transaction (including any actions taken on or prior to the Closing Date)), in each case, calculated (I)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 though such cost savings, synergies or operating expense reductions had been realized in full on the first day of such period and (II) net of the amount of actual benefits realized from such actions during such period (it is understood and agreed that “run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rate” means the full recurring benefit that is associated with any action taken or with respect to which substantial steps have been taken or are expected to be taken, whether prior to or following the Closing Date) (which adjustments may be incremental to (but not duplicative of) pro forma cost savings, synergies or operating expense reduction adjustments made pursuant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p>
    <w:p>
      <w:pPr>
        <w:spacing w:after="0" w:line="193"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i w:val="1"/>
          <w:iCs w:val="1"/>
          <w:color w:val="auto"/>
        </w:rPr>
        <w:t>plus</w:t>
      </w:r>
    </w:p>
    <w:p>
      <w:pPr>
        <w:spacing w:after="0" w:line="219" w:lineRule="exact"/>
        <w:rPr>
          <w:rFonts w:ascii="Times New Roman" w:cs="Times New Roman" w:eastAsia="Times New Roman" w:hAnsi="Times New Roman"/>
          <w:sz w:val="20"/>
          <w:szCs w:val="20"/>
          <w:color w:val="auto"/>
        </w:rPr>
      </w:pPr>
    </w:p>
    <w:p>
      <w:pPr>
        <w:ind w:left="380" w:right="20" w:firstLine="754"/>
        <w:spacing w:after="0" w:line="249" w:lineRule="auto"/>
        <w:tabs>
          <w:tab w:leader="none" w:pos="152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000"/>
        </w:rPr>
        <w:t xml:space="preserve">any non-cash increase in expenses resulting from the revaluation of inventory (including any impact of changes to inventory valuation policy methods including changes in capitalization of variances) or other inventory adjustments (including any non-cash increase in expenses as a result of last-in first-out and/or first-in first-out methods of accounting); </w:t>
      </w:r>
      <w:r>
        <w:rPr>
          <w:rFonts w:ascii="Times New Roman" w:cs="Times New Roman" w:eastAsia="Times New Roman" w:hAnsi="Times New Roman"/>
          <w:sz w:val="20"/>
          <w:szCs w:val="20"/>
          <w:i w:val="1"/>
          <w:iCs w:val="1"/>
          <w:color w:val="010000"/>
        </w:rPr>
        <w:t>plus</w:t>
      </w:r>
    </w:p>
    <w:p>
      <w:pPr>
        <w:spacing w:after="0" w:line="3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413" w:right="439" w:bottom="1440" w:gutter="0" w:footer="0" w:header="0"/>
        </w:sectPr>
      </w:pPr>
    </w:p>
    <w:bookmarkStart w:id="121" w:name="page122"/>
    <w:bookmarkEnd w:id="121"/>
    <w:p>
      <w:pPr>
        <w:ind w:left="380" w:right="60" w:firstLine="804"/>
        <w:spacing w:after="0" w:line="254" w:lineRule="auto"/>
        <w:tabs>
          <w:tab w:leader="none" w:pos="152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loss from discontinued operations (but if such operations are classified as discontinued due to the fact that they are being held for sale or are subject to an agreement to dispose of such operations, if elected by the Borrower in its sole discretion, only when and to the extent such operations are actually disposed of); </w:t>
      </w:r>
      <w:r>
        <w:rPr>
          <w:rFonts w:ascii="Times New Roman" w:cs="Times New Roman" w:eastAsia="Times New Roman" w:hAnsi="Times New Roman"/>
          <w:sz w:val="20"/>
          <w:szCs w:val="20"/>
          <w:i w:val="1"/>
          <w:iCs w:val="1"/>
          <w:color w:val="auto"/>
        </w:rPr>
        <w:t>plus</w:t>
      </w:r>
    </w:p>
    <w:p>
      <w:pPr>
        <w:spacing w:after="0" w:line="174" w:lineRule="exact"/>
        <w:rPr>
          <w:rFonts w:ascii="Times New Roman" w:cs="Times New Roman" w:eastAsia="Times New Roman" w:hAnsi="Times New Roman"/>
          <w:sz w:val="20"/>
          <w:szCs w:val="20"/>
          <w:color w:val="auto"/>
        </w:rPr>
      </w:pPr>
    </w:p>
    <w:p>
      <w:pPr>
        <w:ind w:left="380" w:right="20" w:firstLine="754"/>
        <w:spacing w:after="0" w:line="245" w:lineRule="auto"/>
        <w:tabs>
          <w:tab w:leader="none" w:pos="152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adjustments, exclusions and add-backs either (i) consistent with Regulation S-X of the SEC or (ii) set forth in any quality of earnings analysis prepared by independent registered public accountants of recognized national standing or any other accounting firm reasonably acceptable to the Administrative Agent (it being understood that any “Big Four” firm is acceptable) and delivered to the Administrative Agent in connection with any Permitted Acquisition or similar permitted investment (including in connection with an investment by, or the establishment or acquisition of, any Affiliated Practice or Clinical Facility); </w:t>
      </w:r>
      <w:r>
        <w:rPr>
          <w:rFonts w:ascii="Times New Roman" w:cs="Times New Roman" w:eastAsia="Times New Roman" w:hAnsi="Times New Roman"/>
          <w:sz w:val="20"/>
          <w:szCs w:val="20"/>
          <w:i w:val="1"/>
          <w:iCs w:val="1"/>
          <w:color w:val="auto"/>
        </w:rPr>
        <w:t>plus</w:t>
      </w:r>
    </w:p>
    <w:p>
      <w:pPr>
        <w:spacing w:after="0" w:line="184" w:lineRule="exact"/>
        <w:rPr>
          <w:rFonts w:ascii="Times New Roman" w:cs="Times New Roman" w:eastAsia="Times New Roman" w:hAnsi="Times New Roman"/>
          <w:sz w:val="20"/>
          <w:szCs w:val="20"/>
          <w:color w:val="auto"/>
        </w:rPr>
      </w:pPr>
    </w:p>
    <w:p>
      <w:pPr>
        <w:ind w:left="380" w:right="240" w:firstLine="754"/>
        <w:spacing w:after="0" w:line="269" w:lineRule="auto"/>
        <w:tabs>
          <w:tab w:leader="none" w:pos="152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101"/>
        </w:rPr>
        <w:t>adjustments, exclusions and add-backs identified in the investor model delivered to the Initial Lenders on November 21, 2024</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101"/>
        </w:rPr>
        <w:t xml:space="preserve"> </w:t>
      </w:r>
      <w:r>
        <w:rPr>
          <w:rFonts w:ascii="Times New Roman" w:cs="Times New Roman" w:eastAsia="Times New Roman" w:hAnsi="Times New Roman"/>
          <w:sz w:val="20"/>
          <w:szCs w:val="20"/>
          <w:i w:val="1"/>
          <w:iCs w:val="1"/>
          <w:color w:val="000000"/>
        </w:rPr>
        <w:t>plus</w:t>
      </w:r>
    </w:p>
    <w:p>
      <w:pPr>
        <w:spacing w:after="0" w:line="159" w:lineRule="exact"/>
        <w:rPr>
          <w:rFonts w:ascii="Times New Roman" w:cs="Times New Roman" w:eastAsia="Times New Roman" w:hAnsi="Times New Roman"/>
          <w:sz w:val="20"/>
          <w:szCs w:val="20"/>
          <w:color w:val="auto"/>
        </w:rPr>
      </w:pPr>
    </w:p>
    <w:p>
      <w:pPr>
        <w:ind w:left="380" w:right="120" w:firstLine="754"/>
        <w:spacing w:after="0" w:line="244" w:lineRule="auto"/>
        <w:tabs>
          <w:tab w:leader="none" w:pos="152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start-up fees, losses, costs, Charges or expenses incurred in connection with opening new de-novo Affiliated Practices or Clinical Facilities and (ii) operating losses associated with new de-novo Affiliated Practice or Clinical Facility incurred in the first 12 months following the opening of such new de-novo facility, in each case with respect to amounts under subclauses (i) and (ii) above in the aggregate not to exceed $1,500,000 for each such new de-novo Clinical Facility or Affiliated Practice;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added back pursuant to this clause (1)(r), shall not exceed an aggregate amount equal to the greater of (x) $13,500,000 and (y) 15% of Consolidated EBITDA for such Test Period determined on a pro forma basis (calculated after giving effect to all addbacks and adjustments); </w:t>
      </w:r>
      <w:r>
        <w:rPr>
          <w:rFonts w:ascii="Times New Roman" w:cs="Times New Roman" w:eastAsia="Times New Roman" w:hAnsi="Times New Roman"/>
          <w:sz w:val="20"/>
          <w:szCs w:val="20"/>
          <w:i w:val="1"/>
          <w:iCs w:val="1"/>
          <w:color w:val="010000"/>
        </w:rPr>
        <w:t>plus</w:t>
      </w:r>
    </w:p>
    <w:p>
      <w:pPr>
        <w:spacing w:after="0" w:line="185" w:lineRule="exact"/>
        <w:rPr>
          <w:rFonts w:ascii="Times New Roman" w:cs="Times New Roman" w:eastAsia="Times New Roman" w:hAnsi="Times New Roman"/>
          <w:sz w:val="20"/>
          <w:szCs w:val="20"/>
          <w:color w:val="auto"/>
        </w:rPr>
      </w:pPr>
    </w:p>
    <w:p>
      <w:pPr>
        <w:ind w:left="380" w:firstLine="754"/>
        <w:spacing w:after="0" w:line="241" w:lineRule="auto"/>
        <w:tabs>
          <w:tab w:leader="none" w:pos="152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“run-rate” full-year gross profit increase projected by the Borrower in good faith to result from, in the case of a Specified Transaction constituting a Permitted Acquisition or other Investment permitted hereunder, the adoption by the applicable acquired Person, Clinical Facility or Affiliated Practice, on the one hand, of the Borrower’s or its applicable Restricted Subsidiaries’ or Affiliated Practices’, on the other hand, then existing rate or reimbursement schedule, in each case, if then contracted and determined as if such existing rate or reimbursement schedule applied thereto from the first day of the applicable Test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any fiscal quarter ending on or after the date that is twelve (12) calendar months after the consummation of such Permitted Acquisition or other Investment (or such later date as reasonably agreed by the Required Lenders) amounts may not be added back under this clause (s) with respect to an applicable acquired Person, Clinical Facility or Affiliated Practice if such acquired Person, Clinical Facility or Affiliated Practice has not actually adopted such increased rate or reimbursement schedule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w:t>
      </w:r>
      <w:r>
        <w:rPr>
          <w:rFonts w:ascii="Times New Roman" w:cs="Times New Roman" w:eastAsia="Times New Roman" w:hAnsi="Times New Roman"/>
          <w:sz w:val="20"/>
          <w:szCs w:val="20"/>
          <w:color w:val="auto"/>
        </w:rPr>
        <w:t xml:space="preserve">r that, the amount added back pursuant to this clause (1)(s) shall not exceed an aggregate amount equal to the greater of (x) $13,500,000 and (y) 15% of Consolidated EBITDA for such Test Period determined on a pro forma basis (calculated after giving effect to all addbacks and adjustments); </w:t>
      </w:r>
      <w:r>
        <w:rPr>
          <w:rFonts w:ascii="Times New Roman" w:cs="Times New Roman" w:eastAsia="Times New Roman" w:hAnsi="Times New Roman"/>
          <w:sz w:val="20"/>
          <w:szCs w:val="20"/>
          <w:i w:val="1"/>
          <w:iCs w:val="1"/>
          <w:color w:val="auto"/>
        </w:rPr>
        <w:t>plus</w:t>
      </w:r>
    </w:p>
    <w:p>
      <w:pPr>
        <w:spacing w:after="0" w:line="197" w:lineRule="exact"/>
        <w:rPr>
          <w:rFonts w:ascii="Times New Roman" w:cs="Times New Roman" w:eastAsia="Times New Roman" w:hAnsi="Times New Roman"/>
          <w:sz w:val="20"/>
          <w:szCs w:val="20"/>
          <w:color w:val="auto"/>
        </w:rPr>
      </w:pPr>
    </w:p>
    <w:p>
      <w:pPr>
        <w:ind w:left="380" w:right="140" w:firstLine="754"/>
        <w:spacing w:after="0" w:line="254" w:lineRule="auto"/>
        <w:tabs>
          <w:tab w:leader="none" w:pos="152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if positive, by which the normalized “run rate” Consolidated EBITDA of any Clinical Facility or Affiliated Practice opened, re-opened, relocated or acquired no earlier than 12 months prior to the first day of the applicable Test Period (or any Clinical Facility or Affiliated Practice to be acquired or opened pursuant to a</w:t>
      </w:r>
    </w:p>
    <w:p>
      <w:pPr>
        <w:spacing w:after="0" w:line="3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13" w:right="359" w:bottom="1440" w:gutter="0" w:footer="0" w:header="0"/>
        </w:sectPr>
      </w:pPr>
    </w:p>
    <w:bookmarkStart w:id="122" w:name="page123"/>
    <w:bookmarkEnd w:id="122"/>
    <w:p>
      <w:pPr>
        <w:ind w:left="1500" w:right="40"/>
        <w:spacing w:after="0" w:line="256" w:lineRule="auto"/>
        <w:rPr>
          <w:sz w:val="20"/>
          <w:szCs w:val="20"/>
          <w:color w:val="auto"/>
        </w:rPr>
      </w:pPr>
      <w:r>
        <w:rPr>
          <w:rFonts w:ascii="Times New Roman" w:cs="Times New Roman" w:eastAsia="Times New Roman" w:hAnsi="Times New Roman"/>
          <w:sz w:val="19"/>
          <w:szCs w:val="19"/>
          <w:color w:val="auto"/>
        </w:rPr>
        <w:t xml:space="preserve">definitive acquisition agreement or signed letter of intent entered into prior to, or during, such Test Period, in each case, to the extent such transaction remains unclosed and the associated definitive acquisition agreement or signed letter of intent remains unterminated as of such date of determination) (as projected by the Borrower in good faith based on the most recent actual performance for such Clinical Facility or Affiliated Practice) during such Test Period exceeds the actual Consolidated EBITDA, if any, of such Clinical Facility or Affiliated Practice during such Test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such Clinical Facility or Affiliated Practice has generated positive Consolidated EBITDA during any portion of such Test Period and (ii) not more than eighteen (18) months have elapsed since such Clinical Facility or Affiliated Practice has been opened, re-opened, relocated or acquired;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w:t>
      </w:r>
      <w:r>
        <w:rPr>
          <w:rFonts w:ascii="Times New Roman" w:cs="Times New Roman" w:eastAsia="Times New Roman" w:hAnsi="Times New Roman"/>
          <w:sz w:val="19"/>
          <w:szCs w:val="19"/>
          <w:color w:val="auto"/>
        </w:rPr>
        <w:t>r that, the amount added back pursuant to this clause (1)(t) shall not exceed an aggregate amount equal to the greater of (x) $13,500,000 and (y) 15% of Consolidated EBITDA for such Test Period determined on a pro forma basis (calculated after giving effect to all addbacks and adjustments);</w:t>
      </w:r>
    </w:p>
    <w:p>
      <w:pPr>
        <w:spacing w:after="0" w:line="181" w:lineRule="exact"/>
        <w:rPr>
          <w:sz w:val="20"/>
          <w:szCs w:val="20"/>
          <w:color w:val="auto"/>
        </w:rPr>
      </w:pPr>
    </w:p>
    <w:p>
      <w:pPr>
        <w:ind w:left="760" w:firstLine="745"/>
        <w:spacing w:after="0" w:line="269" w:lineRule="auto"/>
        <w:tabs>
          <w:tab w:leader="none" w:pos="190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(without duplication) by the following, in each case to the extent included in determining Consolidated Net Income for such period:</w:t>
      </w:r>
    </w:p>
    <w:p>
      <w:pPr>
        <w:spacing w:after="0" w:line="159" w:lineRule="exact"/>
        <w:rPr>
          <w:rFonts w:ascii="Times New Roman" w:cs="Times New Roman" w:eastAsia="Times New Roman" w:hAnsi="Times New Roman"/>
          <w:sz w:val="20"/>
          <w:szCs w:val="20"/>
          <w:color w:val="auto"/>
        </w:rPr>
      </w:pPr>
    </w:p>
    <w:p>
      <w:pPr>
        <w:ind w:left="1500" w:right="200" w:firstLine="754"/>
        <w:spacing w:after="0" w:line="249" w:lineRule="auto"/>
        <w:tabs>
          <w:tab w:leader="none" w:pos="264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 for such period (excluding any non-cash gain to the extent it represents the reversal of an accrual or reserve for a potential cash item that reduced Consolidated Net Income or Consolidated EBITDA in any prior period other than any such accrual or reserve that has been added back to Consolidated Net Income in calculating Consolidated EBITDA in accordance with this definition),</w:t>
      </w:r>
    </w:p>
    <w:p>
      <w:pPr>
        <w:spacing w:after="0" w:line="179" w:lineRule="exact"/>
        <w:rPr>
          <w:rFonts w:ascii="Times New Roman" w:cs="Times New Roman" w:eastAsia="Times New Roman" w:hAnsi="Times New Roman"/>
          <w:sz w:val="20"/>
          <w:szCs w:val="20"/>
          <w:color w:val="auto"/>
        </w:rPr>
      </w:pPr>
    </w:p>
    <w:p>
      <w:pPr>
        <w:ind w:left="1500" w:right="20" w:firstLine="754"/>
        <w:spacing w:after="0" w:line="295" w:lineRule="auto"/>
        <w:tabs>
          <w:tab w:leader="none" w:pos="2644"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any income consisting of losses attributable to non-controlling interests of third parties in any non-wholly owned Restricted Subsidiary added to (and not deducted from) Consolidated Net Income in such period; and</w:t>
      </w:r>
    </w:p>
    <w:p>
      <w:pPr>
        <w:spacing w:after="0" w:line="137" w:lineRule="exact"/>
        <w:rPr>
          <w:rFonts w:ascii="Times New Roman" w:cs="Times New Roman" w:eastAsia="Times New Roman" w:hAnsi="Times New Roman"/>
          <w:sz w:val="19"/>
          <w:szCs w:val="19"/>
          <w:color w:val="auto"/>
        </w:rPr>
      </w:pPr>
    </w:p>
    <w:p>
      <w:pPr>
        <w:ind w:left="1500" w:right="220" w:firstLine="754"/>
        <w:spacing w:after="0" w:line="254" w:lineRule="auto"/>
        <w:tabs>
          <w:tab w:leader="none" w:pos="264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Income from discontinued operations (but if such operations are classified as discontinued due to the fact that they are being held for sale or are subject to an agreement to dispose of such operations, if elected by the Borrower in its sole discretion, only when and to the extent such operations are actually disposed of).</w:t>
      </w:r>
    </w:p>
    <w:p>
      <w:pPr>
        <w:spacing w:after="0" w:line="174" w:lineRule="exact"/>
        <w:rPr>
          <w:sz w:val="20"/>
          <w:szCs w:val="20"/>
          <w:color w:val="auto"/>
        </w:rPr>
      </w:pPr>
    </w:p>
    <w:p>
      <w:pPr>
        <w:ind w:right="200" w:firstLine="749"/>
        <w:spacing w:after="0" w:line="246" w:lineRule="auto"/>
        <w:rPr>
          <w:sz w:val="20"/>
          <w:szCs w:val="20"/>
          <w:color w:val="auto"/>
        </w:rPr>
      </w:pPr>
      <w:r>
        <w:rPr>
          <w:rFonts w:ascii="Times New Roman" w:cs="Times New Roman" w:eastAsia="Times New Roman" w:hAnsi="Times New Roman"/>
          <w:sz w:val="20"/>
          <w:szCs w:val="20"/>
          <w:color w:val="auto"/>
        </w:rPr>
        <w:t>Notwithstanding the foregoing, amounts added back pursuant to clauses (1)(l), (1)(r), (1)(s) and 1(t) above, when aggregated with any “run rate” cost savings, synergies and operating expense reductions and synergies added back to Consolidated EBITDA pursuant to Section 1.07(3) for such Test Period, in each case, other than amounts added back in connection with the Transactions, shall not in the aggregate exceed an amount equal to 30.0% of Consolidated EBITDA of the Borrower (calculated after giving effect to any such addback and all other permitted add-backs and adjustments) for such Test Period on a pro forma basis.</w:t>
      </w:r>
    </w:p>
    <w:p>
      <w:pPr>
        <w:spacing w:after="0" w:line="198"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the foregoing, it is agreed that for all purposes hereunder (including the calculation of the First Lien Net Leverage Ratio, Secured Net Leverage Ratio, Total Net Leverage Ratio and the Interest Coverage Ratio) for any period that includes the fiscal quarters ended on December 31, 2023, March 31, 2024, June 30, 2024 or September 30, 2024, respectively, (i) Consolidated EBITDA for the fiscal quarter ended on December 31, 2023 shall be deemed to be $20,300,000, (ii) Consolidated EBITDA for the fiscal quarter ended on March 31, 2024 shall be deemed to be $27,700,000, (iii) Consolidated EBITDA for the fiscal quarter ended on June 30, 2024 shall be deemed to be $28,600,000, and (iv) Consolidated EBITDA for the fiscal quarter ended on September 30, 2024 shall be deemed to be $30,700,000, in each case, as adjusted on a pro forma basis. For the avoidance of doubt, Consolidated EBITDA shall be calculated, including pro forma adjustments,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3" w:name="page124"/>
    <w:bookmarkEnd w:id="123"/>
    <w:p>
      <w:pPr>
        <w:spacing w:after="0" w:line="199"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First Lien Secured Debt</w:t>
      </w:r>
      <w:r>
        <w:rPr>
          <w:rFonts w:ascii="Times New Roman" w:cs="Times New Roman" w:eastAsia="Times New Roman" w:hAnsi="Times New Roman"/>
          <w:sz w:val="20"/>
          <w:szCs w:val="20"/>
          <w:color w:val="auto"/>
        </w:rPr>
        <w:t xml:space="preserve">” means, as of any date of determination, subject to the definition of “Designated Revolving Commitments,” the aggregate principal amount of Indebtedness of the Borrower and its Restricted Subsidiaries outstanding on such date, in an amount that would be reflected on a balance sheet on a consolidated basis in accordance with GAAP, consisting only of Indebtedness for borrowed money, Capitalized Lease Obligations and purchase money Indebtedness, in each case, solely to the extent secured, in whole or in part, by a first priority Lien on the Collateral (or in the case of Capitalized Lease Obligations, any asset of the Borrower or any Subsidiary Guarantor), in each case that ranks pari passu with or senior to the Liens securing the First Lien Obligations (without regard to control of remedies);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Consolidated First Lien Secured Debt will not include Non-Recourse Indebtedness, undrawn amounts under revolving credit facilities and Indebtedness in respect of any (1) letter of credit, bank guarantees, bankers’ acceptances and performance or similar bonds, except to the extent of obligations in respect of drawn standby letters of credit which have not been reimbursed within three (3) Business Days, (2) Hedging Obligations or (3) Cash Management Obligations. The Dollar-equivalent principal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Dollar-equivalent principal amount of such Indebtedness.</w:t>
      </w:r>
    </w:p>
    <w:p>
      <w:pPr>
        <w:spacing w:after="0" w:line="185" w:lineRule="exact"/>
        <w:rPr>
          <w:sz w:val="20"/>
          <w:szCs w:val="20"/>
          <w:color w:val="auto"/>
        </w:rPr>
      </w:pPr>
    </w:p>
    <w:p>
      <w:pPr>
        <w:ind w:right="2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Interest Expense</w:t>
      </w:r>
      <w:r>
        <w:rPr>
          <w:rFonts w:ascii="Times New Roman" w:cs="Times New Roman" w:eastAsia="Times New Roman" w:hAnsi="Times New Roman"/>
          <w:sz w:val="20"/>
          <w:szCs w:val="20"/>
          <w:color w:val="auto"/>
        </w:rPr>
        <w:t>” means, with respect to any Person for any period, without duplication, the cash interest expense (including that attributable to Capitalized Lease Obligations), net of cash interest income, with respect to Indebtedness of such Person and its Restricted Subsidiaries for such period, other than Non-Recourse Indebtedness, including commissions, discounts and other fees and charges owed with respect to letters of credit and bankers’ acceptance financing and net cash costs under hedging agreements (other than in connection with the early termination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excluding, in each case:</w:t>
      </w:r>
    </w:p>
    <w:p>
      <w:pPr>
        <w:spacing w:after="0" w:line="216" w:lineRule="exact"/>
        <w:rPr>
          <w:sz w:val="20"/>
          <w:szCs w:val="20"/>
          <w:color w:val="auto"/>
        </w:rPr>
      </w:pPr>
    </w:p>
    <w:p>
      <w:pPr>
        <w:ind w:left="760" w:right="180" w:firstLine="393"/>
        <w:spacing w:after="0" w:line="269" w:lineRule="auto"/>
        <w:tabs>
          <w:tab w:leader="none" w:pos="155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deferred financing costs, debt issuance costs, commissions, fees and expenses and any other amounts of non-cash interest (including as a result of the effects of acquisition method accounting or pushdown accounting),</w:t>
      </w:r>
    </w:p>
    <w:p>
      <w:pPr>
        <w:spacing w:after="0" w:line="159" w:lineRule="exact"/>
        <w:rPr>
          <w:rFonts w:ascii="Times New Roman" w:cs="Times New Roman" w:eastAsia="Times New Roman" w:hAnsi="Times New Roman"/>
          <w:sz w:val="20"/>
          <w:szCs w:val="20"/>
          <w:color w:val="auto"/>
        </w:rPr>
      </w:pPr>
    </w:p>
    <w:p>
      <w:pPr>
        <w:ind w:left="760" w:right="120" w:firstLine="393"/>
        <w:spacing w:after="0" w:line="254" w:lineRule="auto"/>
        <w:tabs>
          <w:tab w:leader="none" w:pos="155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expense attributable to the movement of the mark-to-market valuation of obligations under Hedging Obligations or other derivative instruments, including pursuant to FASB Accounting Standards Codification Topic 815, </w:t>
      </w:r>
      <w:r>
        <w:rPr>
          <w:rFonts w:ascii="Times New Roman" w:cs="Times New Roman" w:eastAsia="Times New Roman" w:hAnsi="Times New Roman"/>
          <w:sz w:val="20"/>
          <w:szCs w:val="20"/>
          <w:i w:val="1"/>
          <w:iCs w:val="1"/>
          <w:color w:val="auto"/>
        </w:rPr>
        <w:t>Derivatives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Hedging</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760" w:right="100" w:firstLine="393"/>
        <w:spacing w:after="0" w:line="269" w:lineRule="auto"/>
        <w:tabs>
          <w:tab w:leader="none" w:pos="155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incurring or terminating Hedging Obligations and cash costs associated with breakage in respect of hedging agreements for interest rates,</w:t>
      </w:r>
    </w:p>
    <w:p>
      <w:pPr>
        <w:spacing w:after="0" w:line="159" w:lineRule="exact"/>
        <w:rPr>
          <w:rFonts w:ascii="Times New Roman" w:cs="Times New Roman" w:eastAsia="Times New Roman" w:hAnsi="Times New Roman"/>
          <w:sz w:val="20"/>
          <w:szCs w:val="20"/>
          <w:color w:val="auto"/>
        </w:rPr>
      </w:pPr>
    </w:p>
    <w:p>
      <w:pPr>
        <w:ind w:left="760" w:firstLine="393"/>
        <w:spacing w:after="0" w:line="269" w:lineRule="auto"/>
        <w:tabs>
          <w:tab w:leader="none" w:pos="155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discounts, yield, make-whole premium and other fees and charges (including any interest expense) incurred in connection with any Non-Recourse Indebtedness,</w:t>
      </w:r>
    </w:p>
    <w:p>
      <w:pPr>
        <w:spacing w:after="0" w:line="159"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interest” owing pursuant to a registration rights agreement with respect to any securities,</w:t>
      </w:r>
    </w:p>
    <w:p>
      <w:pPr>
        <w:spacing w:after="0" w:line="215" w:lineRule="exact"/>
        <w:rPr>
          <w:rFonts w:ascii="Times New Roman" w:cs="Times New Roman" w:eastAsia="Times New Roman" w:hAnsi="Times New Roman"/>
          <w:sz w:val="20"/>
          <w:szCs w:val="20"/>
          <w:color w:val="auto"/>
        </w:rPr>
      </w:pPr>
    </w:p>
    <w:p>
      <w:pPr>
        <w:ind w:left="760" w:right="780" w:firstLine="393"/>
        <w:spacing w:after="0" w:line="269" w:lineRule="auto"/>
        <w:tabs>
          <w:tab w:leader="none" w:pos="155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with respect to make-whole premiums or other breakage costs of any Indebtedness, including any Indebtedness issued in connection with the Transactions,</w:t>
      </w:r>
    </w:p>
    <w:p>
      <w:pPr>
        <w:spacing w:after="0" w:line="159"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penalties and interest relating to Taxes,</w:t>
      </w:r>
    </w:p>
    <w:p>
      <w:pPr>
        <w:spacing w:after="0" w:line="215"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accretion or accrual of discounted liabilities not constituting Indebtedness,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4" w:name="page125"/>
    <w:bookmarkEnd w:id="124"/>
    <w:p>
      <w:pPr>
        <w:ind w:left="1540" w:hanging="387"/>
        <w:spacing w:after="0"/>
        <w:tabs>
          <w:tab w:leader="none" w:pos="15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attributable to a Parent Company resulting from push-down accounting,</w:t>
      </w:r>
    </w:p>
    <w:p>
      <w:pPr>
        <w:spacing w:after="0" w:line="215" w:lineRule="exact"/>
        <w:rPr>
          <w:rFonts w:ascii="Times New Roman" w:cs="Times New Roman" w:eastAsia="Times New Roman" w:hAnsi="Times New Roman"/>
          <w:sz w:val="20"/>
          <w:szCs w:val="20"/>
          <w:color w:val="auto"/>
        </w:rPr>
      </w:pPr>
    </w:p>
    <w:p>
      <w:pPr>
        <w:ind w:left="760" w:right="520" w:firstLine="393"/>
        <w:spacing w:after="0" w:line="269" w:lineRule="auto"/>
        <w:tabs>
          <w:tab w:leader="none" w:pos="155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expense resulting from the discounting of Indebtedness in connection with the application of recapitalization or purchase accounting,</w:t>
      </w:r>
    </w:p>
    <w:p>
      <w:pPr>
        <w:spacing w:after="0" w:line="159" w:lineRule="exact"/>
        <w:rPr>
          <w:rFonts w:ascii="Times New Roman" w:cs="Times New Roman" w:eastAsia="Times New Roman" w:hAnsi="Times New Roman"/>
          <w:sz w:val="20"/>
          <w:szCs w:val="20"/>
          <w:color w:val="auto"/>
        </w:rPr>
      </w:pPr>
    </w:p>
    <w:p>
      <w:pPr>
        <w:ind w:left="760" w:right="260" w:firstLine="393"/>
        <w:spacing w:after="0" w:line="295" w:lineRule="auto"/>
        <w:tabs>
          <w:tab w:leader="none" w:pos="1551"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expense attributable to the exercise of appraisal rights and the settlement of any claims or actions (whether actual, contingent or potential) with respect thereto in connection with the Transactions, any acquisition or Investment,</w:t>
      </w:r>
    </w:p>
    <w:p>
      <w:pPr>
        <w:spacing w:after="0" w:line="137" w:lineRule="exact"/>
        <w:rPr>
          <w:rFonts w:ascii="Times New Roman" w:cs="Times New Roman" w:eastAsia="Times New Roman" w:hAnsi="Times New Roman"/>
          <w:sz w:val="19"/>
          <w:szCs w:val="19"/>
          <w:color w:val="auto"/>
        </w:rPr>
      </w:pPr>
    </w:p>
    <w:p>
      <w:pPr>
        <w:ind w:left="760" w:right="560" w:firstLine="393"/>
        <w:spacing w:after="0" w:line="254" w:lineRule="auto"/>
        <w:tabs>
          <w:tab w:leader="none" w:pos="155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agency fees paid to any administrative agents, collateral agents and trustees with respect to any secured or unsecured loans, debt facilities, debentures, bonds, commercial paper facilities or other forms of Indebtedness (including any security or collateral trust arrangements related thereto), including the Facilities,</w:t>
      </w:r>
    </w:p>
    <w:p>
      <w:pPr>
        <w:spacing w:after="0" w:line="174" w:lineRule="exact"/>
        <w:rPr>
          <w:rFonts w:ascii="Times New Roman" w:cs="Times New Roman" w:eastAsia="Times New Roman" w:hAnsi="Times New Roman"/>
          <w:sz w:val="20"/>
          <w:szCs w:val="20"/>
          <w:color w:val="auto"/>
        </w:rPr>
      </w:pPr>
    </w:p>
    <w:p>
      <w:pPr>
        <w:ind w:left="760" w:right="400" w:firstLine="393"/>
        <w:spacing w:after="0" w:line="269" w:lineRule="auto"/>
        <w:tabs>
          <w:tab w:leader="none" w:pos="155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expense or other fees or charges incurred with respect to any Escrowed Obligations (for the avoidance of doubt, so long as such Escrowed Obligations are held in escrow), and</w:t>
      </w:r>
    </w:p>
    <w:p>
      <w:pPr>
        <w:spacing w:after="0" w:line="159"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 rental or other expense in connection with any equipment lease or any Non-Finance 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the avoidance of doubt, interest on a Capitalized Lease Obligation will be deemed to accrue in accordance with </w:t>
      </w:r>
      <w:r>
        <w:rPr>
          <w:rFonts w:ascii="Times New Roman" w:cs="Times New Roman" w:eastAsia="Times New Roman" w:hAnsi="Times New Roman"/>
          <w:sz w:val="20"/>
          <w:szCs w:val="20"/>
          <w:u w:val="single" w:color="auto"/>
          <w:color w:val="auto"/>
        </w:rPr>
        <w:t>Section 1.07(5)</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right="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Income</w:t>
      </w:r>
      <w:r>
        <w:rPr>
          <w:rFonts w:ascii="Times New Roman" w:cs="Times New Roman" w:eastAsia="Times New Roman" w:hAnsi="Times New Roman"/>
          <w:sz w:val="20"/>
          <w:szCs w:val="20"/>
          <w:color w:val="auto"/>
        </w:rPr>
        <w:t>” means, with respect to any Person for any period, the net income (loss) of such Person and its Restricted Subsidiaries for such period determined on a consolidated basis in accordance with GAAP, excluding (and excluding the effect of), without duplication,</w:t>
      </w:r>
    </w:p>
    <w:p>
      <w:pPr>
        <w:spacing w:after="0" w:line="173" w:lineRule="exact"/>
        <w:rPr>
          <w:sz w:val="20"/>
          <w:szCs w:val="20"/>
          <w:color w:val="auto"/>
        </w:rPr>
      </w:pPr>
    </w:p>
    <w:p>
      <w:pPr>
        <w:ind w:left="760" w:firstLine="745"/>
        <w:spacing w:after="0" w:line="241" w:lineRule="auto"/>
        <w:tabs>
          <w:tab w:leader="none" w:pos="190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extraordinary, one-time, non-recurring or unusual gains or Charges (including relating to any strategic initiatives and accruals and reserves in connection with such gains or Charges and including legal fees, expenses, settlements and judgments), transaction expenses and special items (including, without limitation attorneys’ and experts’ fees and expenses and all other costs, liabilities (including all damages, penalties, fines and indemnification and settlement payments) and expenses paid or payable in connection with any threatened, pending, completed or future claim, demand, action, suit, proceeding, inquiry or investigation (whether civil, criminal, administrative, governmental or investigative) either (i) arising from, or related to, facts and circumstances existing on or prior to the Closing Date or (ii) arising out of or related to securities law); and (b) Charges in connection with the redevelopment, relocation or acquisition of an Affiliated Practice or Clinical Facility; restructuring and similar Charges; accruals or reserves (including restructuring and integration costs related to acquisitions and adjustments to existing reserves, and in each case, whether or not classified as such under GAAP); Charges related to any reconstruction, decommissioning, recommissioning or reconfiguration of facilities and fixed assets for alternative uses; Public Company Costs; Charges related to the integration, consolidation, and closing of facilities and fixed assets; severance and relocation costs and expenses; special compensation Charges, consulting fees; charges in connection with third-party advisory support to implement new accounting standards; signing, retention or completion bonuses and charges, and executive recruiting costs; Charges incurred in connection with strategic initiatives; transition Charges and duplicative running and operating Charges; Charges in connection with non-ordinary course product development; Charges incurred in connection with acquisitions (or purchases of assets) prior to or after the Closing Date (including integration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5" w:name="page126"/>
    <w:bookmarkEnd w:id="125"/>
    <w:p>
      <w:pPr>
        <w:ind w:right="200"/>
        <w:spacing w:after="0" w:line="244" w:lineRule="auto"/>
        <w:rPr>
          <w:sz w:val="20"/>
          <w:szCs w:val="20"/>
          <w:color w:val="auto"/>
        </w:rPr>
      </w:pPr>
      <w:r>
        <w:rPr>
          <w:rFonts w:ascii="Times New Roman" w:cs="Times New Roman" w:eastAsia="Times New Roman" w:hAnsi="Times New Roman"/>
          <w:sz w:val="20"/>
          <w:szCs w:val="20"/>
          <w:color w:val="auto"/>
        </w:rPr>
        <w:t>costs); business optimization Charges (including Charges relating to business optimization programs, non-ordinary course intellectual property development, new systems design and information technology and similar upgrades, signing costs, Charges related to systems establishment, implementation, integration and upgrades and project start-up and wind-down) accruals and reserves; Charges related to implementing operation or reporting systems or technology initiatives; Charges attributable to the implementation of cost-savings initiatives and operating improvements and consolidations; and curtailments and modifications to pension and post-employment employee benefit plans (including any settlement of pension liabilities and charges resulting from changes in estimates, valuations and judgments);</w:t>
      </w:r>
    </w:p>
    <w:p>
      <w:pPr>
        <w:spacing w:after="0" w:line="186" w:lineRule="exact"/>
        <w:rPr>
          <w:sz w:val="20"/>
          <w:szCs w:val="20"/>
          <w:color w:val="auto"/>
        </w:rPr>
      </w:pPr>
    </w:p>
    <w:p>
      <w:pPr>
        <w:ind w:right="20" w:firstLine="745"/>
        <w:spacing w:after="0" w:line="254" w:lineRule="auto"/>
        <w:tabs>
          <w:tab w:leader="none" w:pos="11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effect of a change in accounting principles and changes as a result of the adoption or modification of accounting policies during such period whether effected through a cumulative effect adjustment or a retroactive application, in each case in accordance with GAAP;</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Expenses;</w:t>
      </w:r>
    </w:p>
    <w:p>
      <w:pPr>
        <w:spacing w:after="0" w:line="215" w:lineRule="exact"/>
        <w:rPr>
          <w:rFonts w:ascii="Times New Roman" w:cs="Times New Roman" w:eastAsia="Times New Roman" w:hAnsi="Times New Roman"/>
          <w:sz w:val="20"/>
          <w:szCs w:val="20"/>
          <w:color w:val="auto"/>
        </w:rPr>
      </w:pPr>
    </w:p>
    <w:p>
      <w:pPr>
        <w:ind w:right="280" w:firstLine="745"/>
        <w:spacing w:after="0" w:line="269" w:lineRule="auto"/>
        <w:tabs>
          <w:tab w:leader="none" w:pos="11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(loss) on asset sales, disposals or abandonments (other than asset sales, disposals or abandonments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1.03(2), the Net Income for such period of any Person that is not a Restricted Subsidiary or that is accounted for by the equity method of accounting;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Consolidated Net Income of a Person will be increased by the amount of dividends or distributions or other payments that are actually paid in cash or Cash Equivalents (or to the extent converted into cash or Cash Equivalents) to such Person or a Restricted Subsidiary thereof in respect of such period;</w:t>
      </w:r>
    </w:p>
    <w:p>
      <w:pPr>
        <w:spacing w:after="0" w:line="17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180" w:firstLine="745"/>
        <w:spacing w:after="0" w:line="274" w:lineRule="auto"/>
        <w:tabs>
          <w:tab w:leader="none" w:pos="1144"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effects of adjustments (including the effects of such adjustments pushed down to such Person and its Restricted Subsidiaries) related to the application of recapitalization accounting or purchase accounting (including in the inventory, property and equipment, software, goodwill, intangible assets, in process research and development, deferred revenue and debt line items);</w:t>
      </w:r>
    </w:p>
    <w:p>
      <w:pPr>
        <w:spacing w:after="0" w:line="156" w:lineRule="exact"/>
        <w:rPr>
          <w:rFonts w:ascii="Times New Roman" w:cs="Times New Roman" w:eastAsia="Times New Roman" w:hAnsi="Times New Roman"/>
          <w:sz w:val="19"/>
          <w:szCs w:val="19"/>
          <w:color w:val="auto"/>
        </w:rPr>
      </w:pPr>
    </w:p>
    <w:p>
      <w:pPr>
        <w:ind w:right="120" w:firstLine="745"/>
        <w:spacing w:after="0" w:line="269" w:lineRule="auto"/>
        <w:tabs>
          <w:tab w:leader="none" w:pos="11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(loss) from the early extinguishment or conversion of (a) Indebtedness, (b) Hedging Obligations or (c) other derivative instruments;</w:t>
      </w:r>
    </w:p>
    <w:p>
      <w:pPr>
        <w:spacing w:after="0" w:line="159" w:lineRule="exact"/>
        <w:rPr>
          <w:rFonts w:ascii="Times New Roman" w:cs="Times New Roman" w:eastAsia="Times New Roman" w:hAnsi="Times New Roman"/>
          <w:sz w:val="20"/>
          <w:szCs w:val="20"/>
          <w:color w:val="auto"/>
        </w:rPr>
      </w:pPr>
    </w:p>
    <w:p>
      <w:pPr>
        <w:ind w:firstLine="745"/>
        <w:spacing w:after="0" w:line="249" w:lineRule="auto"/>
        <w:tabs>
          <w:tab w:leader="none" w:pos="11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Charges or asset write-off or write-down in each case, pursuant to GAAP, and the amortization of intangibles arising pursuant to GAAP; provided, that in no event shall this clause (9) permit the add back of adjustments pursuant to write-downs or write-offs of Third Party Payor accounts receivable otherwise included in Consolidated Net Income for such Test Period;</w:t>
      </w:r>
    </w:p>
    <w:p>
      <w:pPr>
        <w:spacing w:after="0" w:line="179" w:lineRule="exact"/>
        <w:rPr>
          <w:rFonts w:ascii="Times New Roman" w:cs="Times New Roman" w:eastAsia="Times New Roman" w:hAnsi="Times New Roman"/>
          <w:sz w:val="20"/>
          <w:szCs w:val="20"/>
          <w:color w:val="auto"/>
        </w:rPr>
      </w:pPr>
    </w:p>
    <w:p>
      <w:pPr>
        <w:ind w:firstLine="745"/>
        <w:spacing w:after="0" w:line="246" w:lineRule="auto"/>
        <w:tabs>
          <w:tab w:leader="none" w:pos="11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non-cash compensation charge or expense, including any such charge or expense arising from grants of stock appreciation, equity incentive programs or similar rights, stock options, restricted stock or other rights to, and any cash charges associated with the rollover, acceleration or payout of, Equity Interests by management of such Person or of a Restricted Subsidiary or any Parent Company, (b) non-cash compensation expense resulting from the application of Accounting Standards Codification Topic No. 718, </w:t>
      </w:r>
      <w:r>
        <w:rPr>
          <w:rFonts w:ascii="Times New Roman" w:cs="Times New Roman" w:eastAsia="Times New Roman" w:hAnsi="Times New Roman"/>
          <w:sz w:val="20"/>
          <w:szCs w:val="20"/>
          <w:i w:val="1"/>
          <w:iCs w:val="1"/>
          <w:color w:val="auto"/>
        </w:rPr>
        <w:t>Compensation—Stock</w:t>
      </w:r>
    </w:p>
    <w:p>
      <w:pPr>
        <w:spacing w:after="0" w:line="3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413" w:right="379" w:bottom="1440" w:gutter="0" w:footer="0" w:header="0"/>
        </w:sectPr>
      </w:pPr>
    </w:p>
    <w:bookmarkStart w:id="126" w:name="page127"/>
    <w:bookmarkEnd w:id="126"/>
    <w:p>
      <w:pPr>
        <w:ind w:right="8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Compensation </w:t>
      </w:r>
      <w:r>
        <w:rPr>
          <w:rFonts w:ascii="Times New Roman" w:cs="Times New Roman" w:eastAsia="Times New Roman" w:hAnsi="Times New Roman"/>
          <w:sz w:val="20"/>
          <w:szCs w:val="20"/>
          <w:color w:val="auto"/>
        </w:rPr>
        <w:t>or Accounting Standards Codification Topic 505-50,</w:t>
      </w:r>
      <w:r>
        <w:rPr>
          <w:rFonts w:ascii="Times New Roman" w:cs="Times New Roman" w:eastAsia="Times New Roman" w:hAnsi="Times New Roman"/>
          <w:sz w:val="20"/>
          <w:szCs w:val="20"/>
          <w:i w:val="1"/>
          <w:iCs w:val="1"/>
          <w:color w:val="auto"/>
        </w:rPr>
        <w:t xml:space="preserve"> Equity-Based Payments to Non-Employees </w:t>
      </w:r>
      <w:r>
        <w:rPr>
          <w:rFonts w:ascii="Times New Roman" w:cs="Times New Roman" w:eastAsia="Times New Roman" w:hAnsi="Times New Roman"/>
          <w:sz w:val="20"/>
          <w:szCs w:val="20"/>
          <w:color w:val="auto"/>
        </w:rPr>
        <w:t>and (c) any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(loss) attributable to deferred compensation plans or trusts;</w:t>
      </w:r>
    </w:p>
    <w:p>
      <w:pPr>
        <w:spacing w:after="0" w:line="156" w:lineRule="exact"/>
        <w:rPr>
          <w:sz w:val="20"/>
          <w:szCs w:val="20"/>
          <w:color w:val="auto"/>
        </w:rPr>
      </w:pPr>
    </w:p>
    <w:p>
      <w:pPr>
        <w:ind w:right="40" w:firstLine="745"/>
        <w:spacing w:after="0" w:line="242" w:lineRule="auto"/>
        <w:tabs>
          <w:tab w:leader="none" w:pos="1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Charges during such period, or any amortization thereof for such period, in connection with any acquisition, Investment, Asset Sale, disposition, incurrence or repayment of Indebtedness (including such fees, expenses or charges related to the syndication and incurrence of any Indebtedness, including any Facilities hereunder, or the early extinguishment of Indebtedness or Hedging Obligations), issuance of Equity Interests (including by any direct or indirect parent of the Borrower), recapitalization, refinancing transaction or amendment or modification of any debt instrument (including any amendment or other modification of any Indebtedness, including the Loan Documents) and including, in each case, any such transaction whether consummated on, after or prior to the Closing Date and any such transaction undertaken but not completed, and any charges or nonrecurring merger costs incurred during such period as a result of any such transaction, in each case whether or not successful or consummated (including, for the avoidance of doubt, the effects of expensing all transaction related expenses in accordance with Accounting Standards Codification Topic No.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right="340" w:firstLine="745"/>
        <w:spacing w:after="0" w:line="295" w:lineRule="auto"/>
        <w:tabs>
          <w:tab w:leader="none" w:pos="1144"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accruals and reserves that are established or adjusted in connection with an Investment or an acquisition that are required to be established or adjusted as a result of such Investment or such acquisition, in each case in accordance with GAAP;</w:t>
      </w:r>
    </w:p>
    <w:p>
      <w:pPr>
        <w:spacing w:after="0" w:line="137" w:lineRule="exact"/>
        <w:rPr>
          <w:rFonts w:ascii="Times New Roman" w:cs="Times New Roman" w:eastAsia="Times New Roman" w:hAnsi="Times New Roman"/>
          <w:sz w:val="19"/>
          <w:szCs w:val="19"/>
          <w:color w:val="auto"/>
        </w:rPr>
      </w:pPr>
    </w:p>
    <w:p>
      <w:pPr>
        <w:jc w:val="both"/>
        <w:ind w:right="120" w:firstLine="745"/>
        <w:spacing w:after="0" w:line="249" w:lineRule="auto"/>
        <w:tabs>
          <w:tab w:leader="none" w:pos="1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expenses, charges or losses to the extent covered by insurance that are, directly or indirectly, reimbursed or reimbursable by a third party, and any expenses, charges or losses that are covered by indemnification or other reimbursement provisions in connection with any acquisition, Investment or any sale, conveyance, transfer or other disposition of assets permitted under this Agreement;</w:t>
      </w:r>
    </w:p>
    <w:p>
      <w:pPr>
        <w:spacing w:after="0" w:line="179" w:lineRule="exact"/>
        <w:rPr>
          <w:rFonts w:ascii="Times New Roman" w:cs="Times New Roman" w:eastAsia="Times New Roman" w:hAnsi="Times New Roman"/>
          <w:sz w:val="20"/>
          <w:szCs w:val="20"/>
          <w:color w:val="auto"/>
        </w:rPr>
      </w:pPr>
    </w:p>
    <w:p>
      <w:pPr>
        <w:ind w:firstLine="745"/>
        <w:spacing w:after="0" w:line="249" w:lineRule="auto"/>
        <w:tabs>
          <w:tab w:leader="none" w:pos="1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gain (loss) attributable to the mark to market movement in the valuation of Hedging Obligations or other derivative instruments pursuant to FASB Accounting Standards Codification Topic 815—</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xml:space="preserve"> or mark to market movement of other financial instruments pursuant to FASB Accounting Standards Codification Topic 825—</w:t>
      </w:r>
      <w:r>
        <w:rPr>
          <w:rFonts w:ascii="Times New Roman" w:cs="Times New Roman" w:eastAsia="Times New Roman" w:hAnsi="Times New Roman"/>
          <w:sz w:val="20"/>
          <w:szCs w:val="20"/>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Instruments</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firstLine="745"/>
        <w:spacing w:after="0" w:line="249" w:lineRule="auto"/>
        <w:tabs>
          <w:tab w:leader="none" w:pos="1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realized or unrealized gain or loss (after any offset) resulting in such period from currency transaction or translation gains or losses, including those related to currency remeasurements of Indebtedness (including any net loss or gain resulting from (a) Hedging Obligations for currency exchange risk and (b) resulting from intercompany indebtedness) and any other foreign currency transaction or translation gains and losses;</w:t>
      </w:r>
    </w:p>
    <w:p>
      <w:pPr>
        <w:spacing w:after="0" w:line="175" w:lineRule="exact"/>
        <w:rPr>
          <w:rFonts w:ascii="Times New Roman" w:cs="Times New Roman" w:eastAsia="Times New Roman" w:hAnsi="Times New Roman"/>
          <w:sz w:val="20"/>
          <w:szCs w:val="20"/>
          <w:color w:val="auto"/>
        </w:rPr>
      </w:pPr>
    </w:p>
    <w:p>
      <w:pPr>
        <w:ind w:right="100" w:firstLine="745"/>
        <w:spacing w:after="0" w:line="273" w:lineRule="auto"/>
        <w:tabs>
          <w:tab w:leader="none" w:pos="1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adjustments resulting from the application of Accounting Standards Codification Topic No. 460, </w:t>
      </w:r>
      <w:r>
        <w:rPr>
          <w:rFonts w:ascii="Times New Roman" w:cs="Times New Roman" w:eastAsia="Times New Roman" w:hAnsi="Times New Roman"/>
          <w:sz w:val="20"/>
          <w:szCs w:val="20"/>
          <w:i w:val="1"/>
          <w:iCs w:val="1"/>
          <w:color w:val="auto"/>
        </w:rPr>
        <w:t>Guarantees</w:t>
      </w:r>
      <w:r>
        <w:rPr>
          <w:rFonts w:ascii="Times New Roman" w:cs="Times New Roman" w:eastAsia="Times New Roman" w:hAnsi="Times New Roman"/>
          <w:sz w:val="20"/>
          <w:szCs w:val="20"/>
          <w:color w:val="auto"/>
        </w:rPr>
        <w:t>, or any comparable regulation;</w:t>
      </w:r>
    </w:p>
    <w:p>
      <w:pPr>
        <w:spacing w:after="0" w:line="15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rent expense;</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expenses, accruals or reserves related to adjustments to historical tax exposures; and</w:t>
      </w:r>
    </w:p>
    <w:p>
      <w:pPr>
        <w:spacing w:after="0" w:line="215" w:lineRule="exact"/>
        <w:rPr>
          <w:rFonts w:ascii="Times New Roman" w:cs="Times New Roman" w:eastAsia="Times New Roman" w:hAnsi="Times New Roman"/>
          <w:sz w:val="20"/>
          <w:szCs w:val="20"/>
          <w:color w:val="auto"/>
        </w:rPr>
      </w:pPr>
    </w:p>
    <w:p>
      <w:pPr>
        <w:ind w:right="180" w:firstLine="745"/>
        <w:spacing w:after="0" w:line="269" w:lineRule="auto"/>
        <w:tabs>
          <w:tab w:leader="none" w:pos="1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earnout and contingent consideration obligations (including to the extent accounted for as bonuses or otherwise and including in connection with the Transactions) and adjustments thereof and purchase price adjustments.</w:t>
      </w:r>
    </w:p>
    <w:p>
      <w:pPr>
        <w:spacing w:after="0" w:line="36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09" w:right="359" w:bottom="1440" w:gutter="0" w:footer="0" w:header="0"/>
        </w:sectPr>
      </w:pPr>
    </w:p>
    <w:bookmarkStart w:id="127" w:name="page128"/>
    <w:bookmarkEnd w:id="127"/>
    <w:p>
      <w:pPr>
        <w:ind w:right="20" w:firstLine="1497"/>
        <w:spacing w:after="0" w:line="241" w:lineRule="auto"/>
        <w:rPr>
          <w:sz w:val="20"/>
          <w:szCs w:val="20"/>
          <w:color w:val="auto"/>
        </w:rPr>
      </w:pPr>
      <w:r>
        <w:rPr>
          <w:rFonts w:ascii="Times New Roman" w:cs="Times New Roman" w:eastAsia="Times New Roman" w:hAnsi="Times New Roman"/>
          <w:sz w:val="20"/>
          <w:szCs w:val="20"/>
          <w:color w:val="auto"/>
        </w:rPr>
        <w:t>In addition, to the extent not already included in the Consolidated Net Income of such Person and its Restricted Subsidiaries, Consolidated Net Income will include the amount of proceeds received, or reasonably projected by the Borrower in good faith to be receivable within one year after the end of such period, from business interruption insurance (with a deduction to Consolidated Net Income in any subsequent period for any amount so added back pursuant to this sentence to the extent not so paid or reimbursed within such one year period, and to the extent any such amount is paid or reimbursed during any subsequent period, such amount shall not be included in the calculation of Consolidated Net Income for such subsequent period), the amount of any expenses or charges incurred by such Person or its Restricted Subsidiaries during such period that are, directly or indirectly, reimbursed, or reasonably projected by the Borrower in good faith to be reimbursable within one year after the end of such period, by a third party (with a deduction to Consolidated Net Income in any subsequent period for any amount so added back pursuant to this sentence to the extent not so paid or reimbursed within such one year period, and to the extent any such amount is paid or reimbursed during any subsequent period, such amount shall not be included in the calculation of Consolidated Net Income for such subsequent period), and amounts that are covered by indemnification or other reimbursement provisions in connection with any acquisition, Investment or any sale, conveyance, transfer or other disposition of assets permitted hereunder.</w:t>
      </w:r>
    </w:p>
    <w:p>
      <w:pPr>
        <w:spacing w:after="0" w:line="197" w:lineRule="exact"/>
        <w:rPr>
          <w:sz w:val="20"/>
          <w:szCs w:val="20"/>
          <w:color w:val="auto"/>
        </w:rPr>
      </w:pPr>
    </w:p>
    <w:p>
      <w:pPr>
        <w:ind w:right="40" w:firstLine="1497"/>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the foregoing, for the purpose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there will be excluded from Consolidated Net Income any income arising from any sale or other disposition of Restricted Investments made by such Person and its Restricted Subsidiaries, any repurchases and redemptions of Restricted Investments from such Person and its Restricted Subsidiaries, any repayments of loans and advances which constitute Restricted Investments by such Person or any Restricted Subsidiary, any sale of the stock of an Unrestricted Subsidiary or any distribution or dividend from an Unrestricted Subsidiary, in each case only to the extent such amounts increase the amount of Restricted Payments permitted under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Secured Debt</w:t>
      </w:r>
      <w:r>
        <w:rPr>
          <w:rFonts w:ascii="Times New Roman" w:cs="Times New Roman" w:eastAsia="Times New Roman" w:hAnsi="Times New Roman"/>
          <w:sz w:val="19"/>
          <w:szCs w:val="19"/>
          <w:color w:val="auto"/>
        </w:rPr>
        <w:t xml:space="preserve">” means, as of any date of determination, subject to the definition of “Designated Revolving Commitments,” the aggregate principal amount of Indebtedness of the Borrower and its Restricted Subsidiaries outstanding on such date, in an amount that would be reflected on a balance sheet on a consolidated basis in accordance with GAAP, consisting only of Indebtedness for borrowed money, Capitalized Lease Obligations and purchase money Indebtedness, in each case secured by a Lien on the Collateral (or in the case of Capitalized Lease Obligations, any asset of the Borrower or any Subsidiary Guarantor);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Consolidated Secured Debt will not include Non-Recourse Indebtedness, undrawn amounts under revolving credit facilities and Indebtedness in respect of any (1) letter of credit, bank guarantees, bankers’ acceptances and performance or similar bonds, except to the extent of obligations in respect of drawn standby letters of credit which have not been reimbursed within three (3) Business Days, (2) Hedging Obligations or (3) Cash Management Obligations. The Dollar-equivalent principal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Dollar-equivalent principal amount of such Indebtedness.</w:t>
      </w:r>
    </w:p>
    <w:p>
      <w:pPr>
        <w:spacing w:after="0" w:line="177" w:lineRule="exact"/>
        <w:rPr>
          <w:sz w:val="20"/>
          <w:szCs w:val="20"/>
          <w:color w:val="auto"/>
        </w:rPr>
      </w:pPr>
    </w:p>
    <w:p>
      <w:pPr>
        <w:ind w:right="80" w:firstLine="1497"/>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 Total Debt</w:t>
      </w:r>
      <w:r>
        <w:rPr>
          <w:rFonts w:ascii="Times New Roman" w:cs="Times New Roman" w:eastAsia="Times New Roman" w:hAnsi="Times New Roman"/>
          <w:sz w:val="19"/>
          <w:szCs w:val="19"/>
          <w:color w:val="auto"/>
        </w:rPr>
        <w:t xml:space="preserve">” means, as of any date of determination, subject to the definition of “Designated Revolving Commitments,” the aggregate principal amount of Indebtedness of the Borrower and its Restricted Subsidiaries outstanding on such date, in an amount that would be reflected on a balance sheet on a consolidated basis in accordance with GAAP, consisting only of Indebtedness for borrowed money, Capitalized Lease Obligations and purchase money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Consolidated Total Debt will not include Non-Recourse Indebtedness, undrawn amounts under revolving credit facilities and Indebtedness in respect of any (1) letter of credit, bank guarantees and performance or similar bonds, except to the extent of obligations in respect of drawn standby letters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28" w:name="page129"/>
    <w:bookmarkEnd w:id="128"/>
    <w:p>
      <w:pPr>
        <w:ind w:right="180"/>
        <w:spacing w:after="0" w:line="249" w:lineRule="auto"/>
        <w:rPr>
          <w:sz w:val="20"/>
          <w:szCs w:val="20"/>
          <w:color w:val="auto"/>
        </w:rPr>
      </w:pPr>
      <w:r>
        <w:rPr>
          <w:rFonts w:ascii="Times New Roman" w:cs="Times New Roman" w:eastAsia="Times New Roman" w:hAnsi="Times New Roman"/>
          <w:sz w:val="20"/>
          <w:szCs w:val="20"/>
          <w:color w:val="auto"/>
        </w:rPr>
        <w:t>of credit which have not been reimbursed within three (3) Business Days, (2) Hedging Obligations or (3) Cash Management Obligations. The Dollar-equivalent principal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Dollar-equivalent principal amount of such Indebtedness.</w:t>
      </w:r>
    </w:p>
    <w:p>
      <w:pPr>
        <w:spacing w:after="0" w:line="176" w:lineRule="exact"/>
        <w:rPr>
          <w:sz w:val="20"/>
          <w:szCs w:val="20"/>
          <w:color w:val="auto"/>
        </w:rPr>
      </w:pPr>
    </w:p>
    <w:p>
      <w:pPr>
        <w:jc w:val="both"/>
        <w:ind w:right="4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Obligations</w:t>
      </w:r>
      <w:r>
        <w:rPr>
          <w:rFonts w:ascii="Times New Roman" w:cs="Times New Roman" w:eastAsia="Times New Roman" w:hAnsi="Times New Roman"/>
          <w:sz w:val="20"/>
          <w:szCs w:val="20"/>
          <w:color w:val="auto"/>
        </w:rPr>
        <w:t>” means, with respect to any Person, any obligation of such Person guaranteeing any leases, dividends or other monetary obligations that do not constitute Indebtedness (“</w:t>
      </w:r>
      <w:r>
        <w:rPr>
          <w:rFonts w:ascii="Times New Roman" w:cs="Times New Roman" w:eastAsia="Times New Roman" w:hAnsi="Times New Roman"/>
          <w:sz w:val="20"/>
          <w:szCs w:val="20"/>
          <w:b w:val="1"/>
          <w:bCs w:val="1"/>
          <w:color w:val="auto"/>
        </w:rPr>
        <w:t>primary obligations</w:t>
      </w:r>
      <w:r>
        <w:rPr>
          <w:rFonts w:ascii="Times New Roman" w:cs="Times New Roman" w:eastAsia="Times New Roman" w:hAnsi="Times New Roman"/>
          <w:sz w:val="20"/>
          <w:szCs w:val="20"/>
          <w:color w:val="auto"/>
        </w:rPr>
        <w:t>”) of any other Person (the “</w:t>
      </w:r>
      <w:r>
        <w:rPr>
          <w:rFonts w:ascii="Times New Roman" w:cs="Times New Roman" w:eastAsia="Times New Roman" w:hAnsi="Times New Roman"/>
          <w:sz w:val="20"/>
          <w:szCs w:val="20"/>
          <w:b w:val="1"/>
          <w:bCs w:val="1"/>
          <w:color w:val="auto"/>
        </w:rPr>
        <w:t>primary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obligor</w:t>
      </w:r>
      <w:r>
        <w:rPr>
          <w:rFonts w:ascii="Times New Roman" w:cs="Times New Roman" w:eastAsia="Times New Roman" w:hAnsi="Times New Roman"/>
          <w:sz w:val="20"/>
          <w:szCs w:val="20"/>
          <w:color w:val="auto"/>
        </w:rPr>
        <w:t>”) in any manner, whether directly or indirectly, including any obligation of such Person, whether or not contingent:</w:t>
      </w:r>
    </w:p>
    <w:p>
      <w:pPr>
        <w:spacing w:after="0" w:line="173" w:lineRule="exact"/>
        <w:rPr>
          <w:sz w:val="20"/>
          <w:szCs w:val="20"/>
          <w:color w:val="auto"/>
        </w:rPr>
      </w:pPr>
    </w:p>
    <w:p>
      <w:pPr>
        <w:ind w:left="1900" w:hanging="395"/>
        <w:spacing w:after="0"/>
        <w:tabs>
          <w:tab w:leader="none" w:pos="19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purchase any such primary obligation or any property constituting direct or indirect security therefor;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advance or supply funds:</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purchase or payment of any such primary obligation or</w:t>
      </w:r>
    </w:p>
    <w:p>
      <w:pPr>
        <w:spacing w:after="0" w:line="215" w:lineRule="exact"/>
        <w:rPr>
          <w:rFonts w:ascii="Times New Roman" w:cs="Times New Roman" w:eastAsia="Times New Roman" w:hAnsi="Times New Roman"/>
          <w:sz w:val="20"/>
          <w:szCs w:val="20"/>
          <w:color w:val="auto"/>
        </w:rPr>
      </w:pPr>
    </w:p>
    <w:p>
      <w:pPr>
        <w:ind w:left="1500" w:right="200" w:firstLine="754"/>
        <w:spacing w:after="0" w:line="269" w:lineRule="auto"/>
        <w:tabs>
          <w:tab w:leader="none" w:pos="264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maintain working capital or equity capital of the primary obligor or otherwise to maintain the net worth or solvency of the primary obligor; or</w:t>
      </w:r>
    </w:p>
    <w:p>
      <w:pPr>
        <w:spacing w:after="0" w:line="159" w:lineRule="exact"/>
        <w:rPr>
          <w:rFonts w:ascii="Times New Roman" w:cs="Times New Roman" w:eastAsia="Times New Roman" w:hAnsi="Times New Roman"/>
          <w:sz w:val="20"/>
          <w:szCs w:val="20"/>
          <w:color w:val="auto"/>
        </w:rPr>
      </w:pPr>
    </w:p>
    <w:p>
      <w:pPr>
        <w:ind w:left="760" w:right="540" w:firstLine="745"/>
        <w:spacing w:after="0" w:line="295" w:lineRule="auto"/>
        <w:tabs>
          <w:tab w:leader="none" w:pos="1904"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34" w:lineRule="exact"/>
        <w:rPr>
          <w:sz w:val="20"/>
          <w:szCs w:val="20"/>
          <w:color w:val="auto"/>
        </w:rPr>
      </w:pPr>
    </w:p>
    <w:p>
      <w:pPr>
        <w:ind w:right="6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2" w:lineRule="exact"/>
        <w:rPr>
          <w:sz w:val="20"/>
          <w:szCs w:val="20"/>
          <w:color w:val="auto"/>
        </w:rPr>
      </w:pPr>
    </w:p>
    <w:p>
      <w:pPr>
        <w:ind w:right="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 Investment Affiliate</w:t>
      </w:r>
      <w:r>
        <w:rPr>
          <w:rFonts w:ascii="Times New Roman" w:cs="Times New Roman" w:eastAsia="Times New Roman" w:hAnsi="Times New Roman"/>
          <w:sz w:val="20"/>
          <w:szCs w:val="20"/>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or other companies.</w:t>
      </w:r>
    </w:p>
    <w:p>
      <w:pPr>
        <w:spacing w:after="0" w:line="169"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Convertible Indebtedness</w:t>
      </w:r>
      <w:r>
        <w:rPr>
          <w:rFonts w:ascii="Times New Roman" w:cs="Times New Roman" w:eastAsia="Times New Roman" w:hAnsi="Times New Roman"/>
          <w:sz w:val="20"/>
          <w:szCs w:val="20"/>
          <w:color w:val="auto"/>
        </w:rPr>
        <w:t>” means Indebtedness of the Borrower or any Restricted Subsidiary (which may be guaranteed by the Guarantors) permitted to be incurred hereunder that is either (1) convertible into common equity of the Borrower or a Restricted Subsidiary (and cash in lieu of fractional shares) or cash (in an amount determined by reference to the price of such common equity) or (2) sold as units with call options, warrants or rights to purchase (or substantially equivalent derivative transactions) that are exercisable for common equity of the Borrower or a Restricted Subsidiary or cash (in an amount determined by reference to the price of such common equity).</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Corrective Extension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Entity</w:t>
      </w:r>
      <w:r>
        <w:rPr>
          <w:rFonts w:ascii="Times New Roman" w:cs="Times New Roman" w:eastAsia="Times New Roman" w:hAnsi="Times New Roman"/>
          <w:sz w:val="20"/>
          <w:szCs w:val="20"/>
          <w:color w:val="auto"/>
        </w:rPr>
        <w:t>” means any of the following:</w:t>
      </w:r>
    </w:p>
    <w:p>
      <w:pPr>
        <w:spacing w:after="0" w:line="220" w:lineRule="exact"/>
        <w:rPr>
          <w:sz w:val="20"/>
          <w:szCs w:val="20"/>
          <w:color w:val="auto"/>
        </w:rPr>
      </w:pPr>
    </w:p>
    <w:p>
      <w:pPr>
        <w:ind w:left="1900" w:hanging="395"/>
        <w:spacing w:after="0"/>
        <w:tabs>
          <w:tab w:leader="none" w:pos="19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ind w:left="1500" w:right="1420" w:firstLine="5"/>
        <w:spacing w:after="0" w:line="462" w:lineRule="auto"/>
        <w:tabs>
          <w:tab w:leader="none" w:pos="18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 “</w:t>
      </w:r>
      <w:r>
        <w:rPr>
          <w:rFonts w:ascii="Times New Roman" w:cs="Times New Roman" w:eastAsia="Times New Roman" w:hAnsi="Times New Roman"/>
          <w:sz w:val="20"/>
          <w:szCs w:val="20"/>
          <w:b w:val="1"/>
          <w:bCs w:val="1"/>
          <w:color w:val="auto"/>
        </w:rPr>
        <w:t>Covered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right="3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Agreement Refinanced Debt</w:t>
      </w:r>
      <w:r>
        <w:rPr>
          <w:rFonts w:ascii="Times New Roman" w:cs="Times New Roman" w:eastAsia="Times New Roman" w:hAnsi="Times New Roman"/>
          <w:sz w:val="20"/>
          <w:szCs w:val="20"/>
          <w:color w:val="auto"/>
        </w:rPr>
        <w:t>” has the meaning assigned to such term in the definition of “Credit Agreement Refinancing Indebtedness.”</w:t>
      </w:r>
    </w:p>
    <w:p>
      <w:pPr>
        <w:spacing w:after="0" w:line="152" w:lineRule="exact"/>
        <w:rPr>
          <w:sz w:val="20"/>
          <w:szCs w:val="20"/>
          <w:color w:val="auto"/>
        </w:rPr>
      </w:pPr>
    </w:p>
    <w:p>
      <w:pPr>
        <w:ind w:firstLine="1497"/>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Credit Agreement Refinancing Indebtedness</w:t>
      </w:r>
      <w:r>
        <w:rPr>
          <w:rFonts w:ascii="Times New Roman" w:cs="Times New Roman" w:eastAsia="Times New Roman" w:hAnsi="Times New Roman"/>
          <w:sz w:val="19"/>
          <w:szCs w:val="19"/>
          <w:color w:val="auto"/>
        </w:rPr>
        <w:t xml:space="preserve">” means (1) Permitted Equal Priority Refinancing Debt, (2) Permitted Junior Priority Refinancing Debt or (3) Permitted Unsecured Refinancing Debt;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each case, such Indebtedness is issued, incurred or otherwise obtained (including by means of the extension or renewal of existing Indebtedness) to Refinance, in whole or in part, existing Loans (or, if applicable, unused Commitments) or any then-existing Credit Agreement Refinancing Indebtedness (“</w:t>
      </w:r>
      <w:r>
        <w:rPr>
          <w:rFonts w:ascii="Times New Roman" w:cs="Times New Roman" w:eastAsia="Times New Roman" w:hAnsi="Times New Roman"/>
          <w:sz w:val="19"/>
          <w:szCs w:val="19"/>
          <w:b w:val="1"/>
          <w:bCs w:val="1"/>
          <w:color w:val="auto"/>
        </w:rPr>
        <w:t>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Agreement Refinanced Debt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(a) the terms of any such Indebtedness (excluding, for the avoidance of doubt,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interest rates (including through fixed interest rates), interest margins, rate floors, fees, funding discounts, original issue discounts and prepayment or redemption premiums and terms) shall either, at the option of the Borrower, (i) [reserved], (ii) if otherwise not consistent with the terms of such Credit Agreement Refinanced Debt, not be materially more restrictive to the Borrower (as determined by the Borrower in good faith), when taken as a whole, than the terms of such Credit Agreement Refinanced Debt, except, in each case under this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with respect to (I) covenants and other terms applicable to any period after the Latest Maturity Date of the Loans in effect immediately prior to such Refinancing or (II) a Previously Absent Financial Maintenance Covenant (so long as, (A) to the extent that such Indebtedness includes a Previously Absent Financial Maintenance Covenant that is in effect prior to the Latest Maturity Date of the Closing Date Revolving Facility and consists solely of a revolving credit facility (whether or not the documentation therefor includes any other facilities) and the applicable Previously Absent Financial Maintenance Covenant is included only for the benefit of such revolving credit facility, such Previously Absent Financial Maintenance Covenant shall be included for the benefit of the Closing Date Revolving Facility and (B) to the extent that such Indebtedness includes a Previously Absent Financial Maintenance Covenant that is in effect prior to the Latest Maturity Date of the Closing Date Term Loans and does not consist solely of a revolving credit facility (whether or not the documentation therefor includes any other facilities), such Previously Absent Financial Maintenance Covenant shall be included for the benefit of the Closing Date Term Loans or (iii) such terms shall be reasonably satisfactory to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Borrower’s election, to the extent any term or provision is added for the benefit of (I) the lenders of any such Indebtedness that consists of term facilities, no consent shall be required from the Administrative Agent (or any Lender) to the extent that such term or provision is also added, or the features of such term or provision are provided, for the benefit of the Closing Date Term Loans or (II) the lenders of any such Indebtedness that consists of revolving credit facilities, no consent shall be required from the Administrative Agent (or any Lender) to the extent that such term or provision is also added, or the features of such term or provision are provided, for the benefit of the Lenders of the Closing Date Revolving Facility)), (b) any such Indebtedness shall have (i) a maturity date that is no earlier than the earlier of (I) the maturity date of the Credit Agreement Refinanced Debt and (II) the Latest Maturity Date of (in the case of Credit Agreement Refinancing Indebtedness consisting of revolving credit facilities) the Closing Date Revolving Facility or (in the case of Credit Agreement Refinancing Indebtedness consisting of term facilities) the Closing Date Term Loans and (ii) if the Credit Agreement Refinancing Indebtedness consists of term facilities, a Weighted Average Life to Maturity equal to or greater than the lesser of (I) the Weighted Average Life to Maturity of the Credit Agreement Refinanced Debt and (II) the Weighted Average Life to Maturity of the Closing Date Term Loans, in each case as of the date of determination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Credit Agreement Refinancing Debt that is subordinated in right of payment or security to the Closing Date Term Loans or Closing Date Revolving Facility shall not mature earlier than 91 days after the then-Latest Maturity Date of the Closing Date Term Facility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color w:val="auto"/>
        </w:rPr>
        <w:t xml:space="preserve">Closing Date Revolving Facility, as applicable), (c) such Indebtedness shall not have a greater principal amount (or shall not have a greater accreted value, if applicable) than the principal amount (or accreted value, if applicable) of the Credit Agreement Refinanced Debt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interest, fees and premiums (including tender premium) and penalties (if any) thereon and fees, expenses, original issue discount and upfront fees incurred in connection with such Refinancing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amount of any other Indebtedness permitted under one or more other Baskets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(which shall be deemed a utilization of any such Baskets), (d) such Credit Agreement Refinanced Debt shall be repaid, defeased or satisfied and discharged, and all accrued interest, fees and premiums (if any) in connection therewith shall be paid, within five (5) Business Days after the date such Credit Agreement Refinancing Indebtedness is issued, incurred or obtained with the Net Proceeds received from the incurrence or issuance of such Indebtedness and (e) any mandatory prepayments of (i) any Permitted Junior Priority Refinancing Debt or Permitted Unsecured Refinancing Debt may not be made except to the extent that prepayments are not prohibited hereunder and, to the extent required hereunder or pursuant to the terms of any Permitted Equal Priority Refinancing Debt, first made or offered to the holders of the Term Loans constituting First Lien Obligations and any such Permitted Equal Priority Refinancing Debt and (ii) any Permitted Equal Priority Refinancing Debt in respect of events described in </w:t>
      </w:r>
      <w:r>
        <w:rPr>
          <w:rFonts w:ascii="Times New Roman" w:cs="Times New Roman" w:eastAsia="Times New Roman" w:hAnsi="Times New Roman"/>
          <w:sz w:val="20"/>
          <w:szCs w:val="20"/>
          <w:u w:val="single" w:color="auto"/>
          <w:color w:val="auto"/>
        </w:rPr>
        <w:t>Section 2.05(2)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(c)(i)</w:t>
      </w:r>
      <w:r>
        <w:rPr>
          <w:rFonts w:ascii="Times New Roman" w:cs="Times New Roman" w:eastAsia="Times New Roman" w:hAnsi="Times New Roman"/>
          <w:sz w:val="20"/>
          <w:szCs w:val="20"/>
          <w:color w:val="auto"/>
        </w:rPr>
        <w:t xml:space="preserve">, may be made on a pro rata basis, less than a pro rata basis or greater than a pro rata basis (but not greater than a pro rata basis as compared to any Class of Term Loans constituting First Lien Obligations with an earlier maturity date unless the Credit Agreement Refinanced Debt was so entitled to participate on a greater than a pro rata basis) with each Class of Term Loans constituting First Lien Obligations under </w:t>
      </w:r>
      <w:r>
        <w:rPr>
          <w:rFonts w:ascii="Times New Roman" w:cs="Times New Roman" w:eastAsia="Times New Roman" w:hAnsi="Times New Roman"/>
          <w:sz w:val="20"/>
          <w:szCs w:val="20"/>
          <w:u w:val="single" w:color="auto"/>
          <w:color w:val="auto"/>
        </w:rPr>
        <w:t>Section 2.05(2)(b)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“Credit Agreement Refinancing Indebtedness” may be incurred in the form of a bridge or other interim credit facility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intended to be Refinanced with (or which converts into or is exchanged for) long-term indebtedness (and such bridge or other interim credit facility shall be deemed to satisfy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second proviso in this definition so long as (x) such credit facility includes customary “rollover” provisions and (y) assuming such credit facility were to be extended pursuant to such “rollover” provisions, such extended credit facility would comply with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and in which case, on or prior to the first anniversary of the incurrence of such “bridge” or other interim credit facility,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second proviso in this definition shall not prohibit the inclusion of customary terms for “bridge” facilities, including customary mandatory prepayment, repurchase or redemption provisions.</w:t>
      </w:r>
    </w:p>
    <w:p>
      <w:pPr>
        <w:spacing w:after="0" w:line="20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Extension</w:t>
      </w:r>
      <w:r>
        <w:rPr>
          <w:rFonts w:ascii="Times New Roman" w:cs="Times New Roman" w:eastAsia="Times New Roman" w:hAnsi="Times New Roman"/>
          <w:sz w:val="20"/>
          <w:szCs w:val="20"/>
          <w:color w:val="auto"/>
        </w:rPr>
        <w:t>” means each of the following: (1) a Borrowing and (2) an L/C Credit Extension.</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Cure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8.04(1)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Cure Expiration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8.04(1)(a)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Cured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Fund Affiliate</w:t>
      </w:r>
      <w:r>
        <w:rPr>
          <w:rFonts w:ascii="Times New Roman" w:cs="Times New Roman" w:eastAsia="Times New Roman" w:hAnsi="Times New Roman"/>
          <w:sz w:val="20"/>
          <w:szCs w:val="20"/>
          <w:color w:val="auto"/>
        </w:rPr>
        <w:t>” means any Affiliate of an Investor or Co-Investor that is a bona fide diversified debt fund that is separately managed from such Investor or Co-Investor, as applicable, and that is not (1) a natural person or (2) Holdings, the Borrower or any Subsidiary of the Borrower.</w:t>
      </w:r>
    </w:p>
    <w:p>
      <w:pPr>
        <w:spacing w:after="0" w:line="169" w:lineRule="exact"/>
        <w:rPr>
          <w:sz w:val="20"/>
          <w:szCs w:val="20"/>
          <w:color w:val="auto"/>
        </w:rPr>
      </w:pPr>
    </w:p>
    <w:p>
      <w:pPr>
        <w:jc w:val="both"/>
        <w:ind w:right="40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Representative</w:t>
      </w:r>
      <w:r>
        <w:rPr>
          <w:rFonts w:ascii="Times New Roman" w:cs="Times New Roman" w:eastAsia="Times New Roman" w:hAnsi="Times New Roman"/>
          <w:sz w:val="20"/>
          <w:szCs w:val="20"/>
          <w:color w:val="auto"/>
        </w:rPr>
        <w:t>” means, with respect to any series of Indebtedness, the trustee, administrative agent, collateral agent, security agent or similar agent or representative under the indenture or agreement pursuant to which such Indebtedness is issued, incurred or otherwise obtained, as the case may be, and each of their successors in such capacities.</w:t>
      </w:r>
    </w:p>
    <w:p>
      <w:pPr>
        <w:spacing w:after="0" w:line="169" w:lineRule="exact"/>
        <w:rPr>
          <w:sz w:val="20"/>
          <w:szCs w:val="20"/>
          <w:color w:val="auto"/>
        </w:rPr>
      </w:pPr>
    </w:p>
    <w:p>
      <w:pPr>
        <w:ind w:right="6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1" w:name="page132"/>
    <w:bookmarkEnd w:id="131"/>
    <w:p>
      <w:pPr>
        <w:ind w:right="320"/>
        <w:spacing w:after="0" w:line="269" w:lineRule="auto"/>
        <w:rPr>
          <w:sz w:val="20"/>
          <w:szCs w:val="20"/>
          <w:color w:val="auto"/>
        </w:rPr>
      </w:pPr>
      <w:r>
        <w:rPr>
          <w:rFonts w:ascii="Times New Roman" w:cs="Times New Roman" w:eastAsia="Times New Roman" w:hAnsi="Times New Roman"/>
          <w:sz w:val="20"/>
          <w:szCs w:val="20"/>
          <w:color w:val="auto"/>
        </w:rPr>
        <w:t>rearrangement, receivership, insolvency, reorganization or similar debtor relief Laws of the United States or other applicable jurisdictions from time to time in effect and affecting the rights of creditors generally.</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Declined Proceeds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2.05(2)(f)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event that is, or with the passage of time or the giving of notice or both would be, an Event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w:t>
      </w:r>
    </w:p>
    <w:p>
      <w:pPr>
        <w:spacing w:after="0" w:line="190" w:lineRule="exact"/>
        <w:rPr>
          <w:sz w:val="20"/>
          <w:szCs w:val="20"/>
          <w:color w:val="auto"/>
        </w:rPr>
      </w:pPr>
    </w:p>
    <w:p>
      <w:pPr>
        <w:ind w:right="20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 xml:space="preserve">” means an interest rate equal to (1)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 the Applicable Rate applicable to Base Rate Loans that are Revolving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(3) 2.00% per annum;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the outstanding principal amount of any Loan, the Default Rate shall be an interest rate equal to the interest rate (including any Applicable Rate) otherwise applicable to such Loan (giving effect to </w:t>
      </w:r>
      <w:r>
        <w:rPr>
          <w:rFonts w:ascii="Times New Roman" w:cs="Times New Roman" w:eastAsia="Times New Roman" w:hAnsi="Times New Roman"/>
          <w:sz w:val="20"/>
          <w:szCs w:val="20"/>
          <w:u w:val="single" w:color="auto"/>
          <w:color w:val="auto"/>
        </w:rPr>
        <w:t>Section 2.02(3)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2.00% per annum, in each case, to the fullest extent permitted by applicable Laws.</w:t>
      </w:r>
    </w:p>
    <w:p>
      <w:pPr>
        <w:spacing w:after="0" w:line="176" w:lineRule="exact"/>
        <w:rPr>
          <w:sz w:val="20"/>
          <w:szCs w:val="20"/>
          <w:color w:val="auto"/>
        </w:rPr>
      </w:pPr>
    </w:p>
    <w:p>
      <w:pPr>
        <w:ind w:right="5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2" w:lineRule="exact"/>
        <w:rPr>
          <w:sz w:val="20"/>
          <w:szCs w:val="20"/>
          <w:color w:val="auto"/>
        </w:rPr>
      </w:pPr>
    </w:p>
    <w:p>
      <w:pPr>
        <w:ind w:right="60" w:firstLine="1497"/>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2.17(2)</w:t>
      </w:r>
      <w:r>
        <w:rPr>
          <w:rFonts w:ascii="Times New Roman" w:cs="Times New Roman" w:eastAsia="Times New Roman" w:hAnsi="Times New Roman"/>
          <w:sz w:val="19"/>
          <w:szCs w:val="19"/>
          <w:color w:val="auto"/>
        </w:rPr>
        <w:t>, any Lender that (1) has refused (which refusal may be given verbally or in writing and has not been retracted) or failed to perform any of its funding obligations hereunder, including in respect of its Loans or participations in respect of L/C Obligations, within one (1) Business Day of the date required to be funded by it hereunder, (2) has failed to pay over to the Administrative Agent, any Issuing Bank or any other Lender any other amount required to be paid by it hereunder within one (1) Business Day of the date when due, unless the subject of a good faith dispute, (3) has notified the Borrower or the Administrative Agent that it does not intend to comply with its funding obligations or has made a public statement to that effect with respect to its funding obligations hereunder or generally under other agreements in which it commits to extend credit, (4) has failed, within three (3) Business Days after request by the Administrative Agent, to confirm in a manner satisfactory to the Administrative Agent that it will comply with its funding obligations, or (5) has, or has a direct or indirect parent company that has, either (a) admitted in writing that it is insolvent or</w:t>
      </w:r>
    </w:p>
    <w:p>
      <w:pPr>
        <w:spacing w:after="0" w:line="2" w:lineRule="exact"/>
        <w:rPr>
          <w:sz w:val="20"/>
          <w:szCs w:val="20"/>
          <w:color w:val="auto"/>
        </w:rPr>
      </w:pPr>
    </w:p>
    <w:p>
      <w:pPr>
        <w:ind w:right="780" w:firstLine="8"/>
        <w:spacing w:after="0" w:line="246" w:lineRule="auto"/>
        <w:tabs>
          <w:tab w:leader="none" w:pos="2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 subject to a Lender-Related Distress Event. Any determination by the Administrative Agent as to whether a Lender is a Defaulting Lender shall be conclusive absent manifest error.</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Deferred Net Proceeds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Non-Cash Consideration</w:t>
      </w:r>
      <w:r>
        <w:rPr>
          <w:rFonts w:ascii="Times New Roman" w:cs="Times New Roman" w:eastAsia="Times New Roman" w:hAnsi="Times New Roman"/>
          <w:sz w:val="20"/>
          <w:szCs w:val="20"/>
          <w:color w:val="auto"/>
        </w:rPr>
        <w:t xml:space="preserve">” means the fair market value of non-cash consideration received by the Borrower or a Restricted Subsidiary in connection with an Asset Sale that is so designated as Designated Non-Cash Consideration pursuant to an Officer’s Certificate, setting forth the basis of such valuation,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amount of cash or Cash Equivalents received in connection with a subsequent sale, redemption or repurchase of, or collection or payment on, such Designated Non-Cash Consideration.</w:t>
      </w:r>
    </w:p>
    <w:p>
      <w:pPr>
        <w:spacing w:after="0" w:line="176"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Preferred Stock</w:t>
      </w:r>
      <w:r>
        <w:rPr>
          <w:rFonts w:ascii="Times New Roman" w:cs="Times New Roman" w:eastAsia="Times New Roman" w:hAnsi="Times New Roman"/>
          <w:sz w:val="20"/>
          <w:szCs w:val="20"/>
          <w:color w:val="auto"/>
        </w:rPr>
        <w:t xml:space="preserve">” means Preferred Stock of the Borrower, any Restricted Subsidiary or any Parent Company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on or promptly after the issuance date thereof, the cash proceeds of which are excluded from the calculation set forth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7.05(1).</w:t>
      </w:r>
    </w:p>
    <w:p>
      <w:pPr>
        <w:spacing w:after="0" w:line="180" w:lineRule="exact"/>
        <w:rPr>
          <w:sz w:val="20"/>
          <w:szCs w:val="20"/>
          <w:color w:val="auto"/>
        </w:rPr>
      </w:pPr>
    </w:p>
    <w:p>
      <w:pPr>
        <w:ind w:right="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Revolving Commitments</w:t>
      </w:r>
      <w:r>
        <w:rPr>
          <w:rFonts w:ascii="Times New Roman" w:cs="Times New Roman" w:eastAsia="Times New Roman" w:hAnsi="Times New Roman"/>
          <w:sz w:val="20"/>
          <w:szCs w:val="20"/>
          <w:color w:val="auto"/>
        </w:rPr>
        <w:t>” means any commitments to make loans or extend credit on a revolving basis (or delayed draw basis) to the Borrower or any Restricted Subsidiary by</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2" w:name="page133"/>
    <w:bookmarkEnd w:id="132"/>
    <w:p>
      <w:pPr>
        <w:spacing w:after="0" w:line="241" w:lineRule="auto"/>
        <w:rPr>
          <w:sz w:val="20"/>
          <w:szCs w:val="20"/>
          <w:color w:val="auto"/>
        </w:rPr>
      </w:pPr>
      <w:r>
        <w:rPr>
          <w:rFonts w:ascii="Times New Roman" w:cs="Times New Roman" w:eastAsia="Times New Roman" w:hAnsi="Times New Roman"/>
          <w:sz w:val="20"/>
          <w:szCs w:val="20"/>
          <w:color w:val="auto"/>
        </w:rPr>
        <w:t xml:space="preserve">any Person other than the Borrower or any Restricted Subsidiary that have been designated in an Officer’s Certificate delivered to the Administrative Agent as “Designated Revolving Commitments” until such time as the Borrower subsequently delivers an Officer’s Certificate to the Administrative Agent to the effect that such commitments will no longer constitute “Designated Revolving Commitments”;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during such time (including at the time of the incurrence of such Designated Revolving Commitments), (1) except for purposes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the definition of “Applicable Rate,” the First Lien Net Leverage Ratios set forth in </w:t>
      </w:r>
      <w:r>
        <w:rPr>
          <w:rFonts w:ascii="Times New Roman" w:cs="Times New Roman" w:eastAsia="Times New Roman" w:hAnsi="Times New Roman"/>
          <w:sz w:val="20"/>
          <w:szCs w:val="20"/>
          <w:u w:val="single" w:color="auto"/>
          <w:color w:val="auto"/>
        </w:rPr>
        <w:t>Section 2.05(2)(b)</w:t>
      </w:r>
      <w:r>
        <w:rPr>
          <w:rFonts w:ascii="Times New Roman" w:cs="Times New Roman" w:eastAsia="Times New Roman" w:hAnsi="Times New Roman"/>
          <w:sz w:val="20"/>
          <w:szCs w:val="20"/>
          <w:color w:val="auto"/>
        </w:rPr>
        <w:t xml:space="preserve"> and determining actual compliance with the Financial Covenants, such Designated Revolving Commitments will be deemed an incurrence of Indebtedness on such date and will be deemed outstanding for purposes of calculating the Interest Coverage Ratio, Total Net Leverage Ratio, Secured Net Leverage Ratio, First Lien Net Leverage Ratio and the availability of any Baskets hereunder and (2) commencing on the date such Designated Revolving Commitments are established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the incurrence of the entire committed amount of the Indebtedness thereunder (but without netting any cash proceeds thereof), such committed amount under such Designated Revolving Commitments may thereafter be borrowed (and reborrowed, if applicable), in whole or in part, from time to time, without further compliance with any Basket or financial ratio or test under this Agreement (including the Interest Coverage Ratio, Total Net Leverage Ratio, Secured Net Leverage Ratio or First Lien Net Leverage Ratio).</w:t>
      </w:r>
    </w:p>
    <w:p>
      <w:pPr>
        <w:spacing w:after="0" w:line="193" w:lineRule="exact"/>
        <w:rPr>
          <w:sz w:val="20"/>
          <w:szCs w:val="20"/>
          <w:color w:val="auto"/>
        </w:rPr>
      </w:pPr>
    </w:p>
    <w:p>
      <w:pPr>
        <w:ind w:right="2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Discharge</w:t>
      </w:r>
      <w:r>
        <w:rPr>
          <w:rFonts w:ascii="Times New Roman" w:cs="Times New Roman" w:eastAsia="Times New Roman" w:hAnsi="Times New Roman"/>
          <w:sz w:val="20"/>
          <w:szCs w:val="20"/>
          <w:color w:val="auto"/>
        </w:rPr>
        <w:t>” means, with respect to any Indebtedness, the repayment, prepayment, repurchase (including pursuant to an offer to purchase), redemption, defeasance or other discharge of such Indebtedness, in any such case in whole or in part.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Prepayment Accepting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2.05(1)(e)(B)(2)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Range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2.05(1)(e)(C)(1)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Range Prepayment Amount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2.05(1)(e)(C)(1)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Range Prepayment Notice</w:t>
      </w:r>
      <w:r>
        <w:rPr>
          <w:rFonts w:ascii="Times New Roman" w:cs="Times New Roman" w:eastAsia="Times New Roman" w:hAnsi="Times New Roman"/>
          <w:sz w:val="20"/>
          <w:szCs w:val="20"/>
          <w:color w:val="auto"/>
        </w:rPr>
        <w:t xml:space="preserve">” means a written notice of a Borrower Solicitation of Discount Range Prepayment Offers made pursuant to </w:t>
      </w:r>
      <w:r>
        <w:rPr>
          <w:rFonts w:ascii="Times New Roman" w:cs="Times New Roman" w:eastAsia="Times New Roman" w:hAnsi="Times New Roman"/>
          <w:sz w:val="20"/>
          <w:szCs w:val="20"/>
          <w:u w:val="single" w:color="auto"/>
          <w:color w:val="auto"/>
        </w:rPr>
        <w:t>Section 2.05(1)(e)(C)(1)</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right="58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Discount Range Prepayment Offer</w:t>
      </w:r>
      <w:r>
        <w:rPr>
          <w:rFonts w:ascii="Times New Roman" w:cs="Times New Roman" w:eastAsia="Times New Roman" w:hAnsi="Times New Roman"/>
          <w:sz w:val="19"/>
          <w:szCs w:val="19"/>
          <w:color w:val="auto"/>
        </w:rPr>
        <w:t xml:space="preserve">” means the written offer by a Lender, substantially in the form of </w:t>
      </w:r>
      <w:r>
        <w:rPr>
          <w:rFonts w:ascii="Times New Roman" w:cs="Times New Roman" w:eastAsia="Times New Roman" w:hAnsi="Times New Roman"/>
          <w:sz w:val="19"/>
          <w:szCs w:val="19"/>
          <w:u w:val="single" w:color="auto"/>
          <w:color w:val="auto"/>
        </w:rPr>
        <w:t>Exhibit K</w:t>
      </w:r>
      <w:r>
        <w:rPr>
          <w:rFonts w:ascii="Times New Roman" w:cs="Times New Roman" w:eastAsia="Times New Roman" w:hAnsi="Times New Roman"/>
          <w:sz w:val="19"/>
          <w:szCs w:val="19"/>
          <w:color w:val="auto"/>
        </w:rPr>
        <w:t>, submitted in response to an invitation to submit offers following the Auction Agent’s receipt of a Discount Range Prepayment Notice.</w:t>
      </w:r>
    </w:p>
    <w:p>
      <w:pPr>
        <w:spacing w:after="0" w:line="1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Range Prepayment Response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2.05(1)(e)(C)(1)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 Range Proration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2.05(1)(e)(C)(3)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Discounted Prepayment Determination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2.05(1)(e)(D)(3)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8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Discounted Prepayment Effective Date</w:t>
      </w:r>
      <w:r>
        <w:rPr>
          <w:rFonts w:ascii="Times New Roman" w:cs="Times New Roman" w:eastAsia="Times New Roman" w:hAnsi="Times New Roman"/>
          <w:sz w:val="20"/>
          <w:szCs w:val="20"/>
          <w:color w:val="auto"/>
        </w:rPr>
        <w:t>” means in the case of a Borrower Offer of Specified Discount Prepayment, Borrower Solicitation of Discount Range Prepayment Offer or Borrower Solicitation of Discounted Prepayment Offer, five (5) Business Days following the Specified Discount Prepayment Response Date, the Discount Range Prepayment Response Date or the Solicited Discounted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3" w:name="page134"/>
    <w:bookmarkEnd w:id="133"/>
    <w:p>
      <w:pPr>
        <w:ind w:right="740"/>
        <w:spacing w:after="0" w:line="269" w:lineRule="auto"/>
        <w:rPr>
          <w:sz w:val="20"/>
          <w:szCs w:val="20"/>
          <w:color w:val="auto"/>
        </w:rPr>
      </w:pPr>
      <w:r>
        <w:rPr>
          <w:rFonts w:ascii="Times New Roman" w:cs="Times New Roman" w:eastAsia="Times New Roman" w:hAnsi="Times New Roman"/>
          <w:sz w:val="20"/>
          <w:szCs w:val="20"/>
          <w:color w:val="auto"/>
        </w:rPr>
        <w:t xml:space="preserve">Prepayment Response Date, as applicable, in accordance with </w:t>
      </w:r>
      <w:r>
        <w:rPr>
          <w:rFonts w:ascii="Times New Roman" w:cs="Times New Roman" w:eastAsia="Times New Roman" w:hAnsi="Times New Roman"/>
          <w:sz w:val="20"/>
          <w:szCs w:val="20"/>
          <w:u w:val="single" w:color="auto"/>
          <w:color w:val="auto"/>
        </w:rPr>
        <w:t>Section 2.05(1)(e)(B)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2.05(1)(e)(C)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2.05(1)(e)(D)</w:t>
      </w:r>
      <w:r>
        <w:rPr>
          <w:rFonts w:ascii="Times New Roman" w:cs="Times New Roman" w:eastAsia="Times New Roman" w:hAnsi="Times New Roman"/>
          <w:sz w:val="20"/>
          <w:szCs w:val="20"/>
          <w:color w:val="auto"/>
        </w:rPr>
        <w:t>, respectively, unless a shorter period is agreed to between the Borrower and the Auction Agent.</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Discounted Term Loan Prepayment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2.05(1)(e)(A)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6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Disinterested Director</w:t>
      </w:r>
      <w:r>
        <w:rPr>
          <w:rFonts w:ascii="Times New Roman" w:cs="Times New Roman" w:eastAsia="Times New Roman" w:hAnsi="Times New Roman"/>
          <w:sz w:val="20"/>
          <w:szCs w:val="20"/>
          <w:color w:val="auto"/>
        </w:rPr>
        <w:t>” means, with respect to any Affiliate Transaction, a member of the Board of Directors of the Borrower or any Parent Company thereof having no material direct or indirect financial interest in or with respect to such Affiliate Transaction. A member of the Board of Directors of the Borrower or any Parent Company thereof shall not be deemed to have such a financial interest by reason of such member’s holding Capital Stock of the Borrower or any options, warrants or other rights in respect of such Capital Stock.</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disposition</w:t>
      </w:r>
      <w:r>
        <w:rPr>
          <w:rFonts w:ascii="Times New Roman" w:cs="Times New Roman" w:eastAsia="Times New Roman" w:hAnsi="Times New Roman"/>
          <w:sz w:val="20"/>
          <w:szCs w:val="20"/>
          <w:color w:val="auto"/>
        </w:rPr>
        <w:t>” has the meaning set forth in the definition of “Asset Sale.”</w:t>
      </w:r>
    </w:p>
    <w:p>
      <w:pPr>
        <w:spacing w:after="0" w:line="216"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Institution</w:t>
      </w:r>
      <w:r>
        <w:rPr>
          <w:rFonts w:ascii="Times New Roman" w:cs="Times New Roman" w:eastAsia="Times New Roman" w:hAnsi="Times New Roman"/>
          <w:sz w:val="20"/>
          <w:szCs w:val="20"/>
          <w:color w:val="auto"/>
        </w:rPr>
        <w:t xml:space="preserve">” means (1) those particular banks, financial institutions, other institutional lenders and other Persons that were identified in writing by the Borrower or the Investor to the Initial Lenders on or prior to the Closing Date (or, after the Closing Date, that are identified in writing by the Borrower or the Investor to, and with the consent (not to be unreasonably withheld, conditioned or delayed) of, the Administrative Agent), (2) any competitor of the Borrower or its Subsidiaries and their Affiliates that is identified in writing by or on behalf of the Borrower or the Investor to the Initial Lender on or prior to the Closing Date (which competitor list may be updated after the Closing Date upon written notice to the Administrative Agent (without retroactive effect)), (3) any competitor of the Investor that (a) is identified in writing by or on behalf of the Borrower or the Investor to the Administrative Agent after the Closing Date (without retroactive effect) and (b) has a debt platform (or an affiliated debt platform) that the Investor reasonably believes does not have sufficient customary barriers in place regarding not sharing information with Affiliates that are competitors of the Investor as of such date of designation pursuant to </w:t>
      </w:r>
      <w:r>
        <w:rPr>
          <w:rFonts w:ascii="Times New Roman" w:cs="Times New Roman" w:eastAsia="Times New Roman" w:hAnsi="Times New Roman"/>
          <w:sz w:val="20"/>
          <w:szCs w:val="20"/>
          <w:u w:val="single" w:color="auto"/>
          <w:color w:val="auto"/>
        </w:rPr>
        <w:t>clause (3)(a)</w:t>
      </w:r>
      <w:r>
        <w:rPr>
          <w:rFonts w:ascii="Times New Roman" w:cs="Times New Roman" w:eastAsia="Times New Roman" w:hAnsi="Times New Roman"/>
          <w:sz w:val="20"/>
          <w:szCs w:val="20"/>
          <w:color w:val="auto"/>
        </w:rPr>
        <w:t xml:space="preserve"> above (including, for each of the foregoing Persons described in this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their respective Affiliates (other than Affiliates that constitute bona fide diversified debt funds primarily investing in loans that represent in their respective marketing materials that they do not share information with their Affiliates that are competitors of the Investor), that are (x) reasonably identifiable as such on the basis of their name in public disclosures or otherwise commonly known by financial institutions that act as arrangers or agents in similar credit facilities or by investors in similar loans or otherwise identified in writing by the Borrower or the Investor to be an Affiliate or (y) otherwise identified in writing to the Administrative Agent to be an Affiliate) and (4) any Affiliate (other than Affiliates that constitute bona fide diversified debt funds primarily investing in loans) of the Persons described in the preceding </w:t>
      </w:r>
      <w:r>
        <w:rPr>
          <w:rFonts w:ascii="Times New Roman" w:cs="Times New Roman" w:eastAsia="Times New Roman" w:hAnsi="Times New Roman"/>
          <w:sz w:val="20"/>
          <w:szCs w:val="20"/>
          <w:u w:val="single" w:color="auto"/>
          <w:color w:val="auto"/>
        </w:rPr>
        <w:t>clauses</w:t>
      </w:r>
    </w:p>
    <w:p>
      <w:pPr>
        <w:spacing w:after="0" w:line="3" w:lineRule="exact"/>
        <w:rPr>
          <w:sz w:val="20"/>
          <w:szCs w:val="20"/>
          <w:color w:val="auto"/>
        </w:rPr>
      </w:pPr>
    </w:p>
    <w:p>
      <w:pPr>
        <w:ind w:firstLine="8"/>
        <w:spacing w:after="0"/>
        <w:tabs>
          <w:tab w:leader="none" w:pos="280" w:val="left"/>
        </w:tabs>
        <w:numPr>
          <w:ilvl w:val="0"/>
          <w:numId w:val="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that are either (i) reasonably identifiable as such on the basis of their name in public disclosures or otherwise commonly known by financial institutions that act as arrangers or agents in similar credit facilities or by investors in similar loans or otherwise identified in writing by the Borrower or the Investor to be an Affiliate or (ii) are identified as such in writing by or on behalf of the Borrower or the Investor;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Person that is a Lender or Participant and subsequently becomes a Disqualified Institution (but was not a Disqualified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Institution at the time it became a Lender or a Participant, as applicable) shall be deemed to not be a Disqualified Institution hereunder (in the case of any such Participant that is not a Lender, solely with respect to the participations held by such Participant). The identity of Disqualified Institutions may be communicated by the Administrative Agent to a Lender upon request, but will not be otherwise posted or distributed to any Person.</w:t>
      </w:r>
    </w:p>
    <w:p>
      <w:pPr>
        <w:spacing w:after="0" w:line="186" w:lineRule="exact"/>
        <w:rPr>
          <w:sz w:val="20"/>
          <w:szCs w:val="20"/>
          <w:color w:val="auto"/>
        </w:rPr>
      </w:pPr>
    </w:p>
    <w:p>
      <w:pPr>
        <w:jc w:val="both"/>
        <w:ind w:right="8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Stock</w:t>
      </w:r>
      <w:r>
        <w:rPr>
          <w:rFonts w:ascii="Times New Roman" w:cs="Times New Roman" w:eastAsia="Times New Roman" w:hAnsi="Times New Roman"/>
          <w:sz w:val="20"/>
          <w:szCs w:val="20"/>
          <w:color w:val="auto"/>
        </w:rPr>
        <w:t>” means, with respect to any Person, any Capital Stock of such Person which, by its terms, or by the terms of any security into which it is convertible or for which it is redeemable or exchangeable, or upon the happening of any event, matures or is mandatorily redeemable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4" w:name="page135"/>
    <w:bookmarkEnd w:id="134"/>
    <w:p>
      <w:pPr>
        <w:spacing w:after="0" w:line="253" w:lineRule="auto"/>
        <w:rPr>
          <w:sz w:val="20"/>
          <w:szCs w:val="20"/>
          <w:color w:val="auto"/>
        </w:rPr>
      </w:pPr>
      <w:r>
        <w:rPr>
          <w:rFonts w:ascii="Times New Roman" w:cs="Times New Roman" w:eastAsia="Times New Roman" w:hAnsi="Times New Roman"/>
          <w:sz w:val="19"/>
          <w:szCs w:val="19"/>
          <w:color w:val="auto"/>
        </w:rPr>
        <w:t xml:space="preserve">(other than (1) for any Qualified Equity Interests or (2) solely as a result of a change of control, asset sale, casualty, condemnation or eminent domain) pursuant to a sinking fund obligation or otherwise, or is redeemable at the option of the holder thereof (other than (1) for any Qualified Equity Interests or (2) solely as a result of a change of control, asset sale, casualty, condemnation or eminent domain), in whole or in part, in each case prior to the date 91 days after the earlier of the then Latest Maturity Date or the date the Loans are no longer outstanding and the Commitments have been terminated;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Capital Stock is issued pursuant to any plan for the benefit of future, current or former employees, directors, officers, members of management, consultants, Related Professionals or independent contractors (or their respective Controlled Investment Affiliates or Immediate Family Members or any permitted transferees thereof) of the Borrower or its Subsidiaries, any Parent Company or any Affiliated Practice or by any such plan to such employees, directors, officers, members of management, consultants, Related Professionals or independent contractors (or their respective Controlled Investment Affiliates or Immediate Family Members or any permitted transferees thereof), such Capital Stock will not constitute Disqualified Stock solely because it may be required to be repurchased by the Borrower or its Subsidiaries in order to satisfy applicable statutory or regulatory obligations or as a result of such employee’s, director’s, officer’s, management member’s, consultant’s, Related Professional’s or independent contractor’s termination, death or disability;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any Capital Stock held by any future, current or former employee, director, officer, member of management, consultant, Related Professional or independent contractor (or their respective Controlled Investment Affiliates or Immediate Family Members or any permitted transferees thereof) of the Borrower, any of its Subsidiaries, any Parent Company, any Affiliated Practice, or any other Person in which the Borrower or a Restricted Subsidiary has an Investment and is designated in good faith as an “affiliate” by the Board of Directors (or the compensation committee thereof), in each case pursuant to any equity subscription or equity holders’ agreement, management equity plan or stock option plan or any other management or employee benefit plan or agreement will not constitute Disqualified Stock solely because it may be required to be repurchased by the Borrower or any Subsidiary in order to satisfy applicable statutory or regulatory obligations or as a result of such employee’s, director’s, officer’s, management member’s, consultant’s, Related Professional’s or independent contractor’s termination, death or disability. For the purposes hereof, the aggregate principal amount of Disqualified Stock will be deemed to be equal to the greater of its voluntary or involuntary liquidation preference and maximum fixed repurchase price, determined on a consolidated basis in accordance with GAAP, and the “maximum fixed repurchase price” of any Disqualified Stock that does not have a fixed repurchase price will be calculated in accordance with the terms of such Disqualified Stock as if such Disqualified Stock were purchased on any date on which the Consolidated Total Debt, Consolidated Secured Debt or Consolidated First Lien Secured Debt, as applicable, will be required to be determined pursuant to this Agreement, and if such price is based upon, or measured by, the fair market value of such Disqualified Stock, such fair market value shall be determined in good faith by the Borrower.</w:t>
      </w:r>
    </w:p>
    <w:p>
      <w:pPr>
        <w:spacing w:after="0" w:line="200" w:lineRule="exact"/>
        <w:rPr>
          <w:sz w:val="20"/>
          <w:szCs w:val="20"/>
          <w:color w:val="auto"/>
        </w:rPr>
      </w:pP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Distressed Agent</w:t>
      </w:r>
      <w:r>
        <w:rPr>
          <w:rFonts w:ascii="Times New Roman" w:cs="Times New Roman" w:eastAsia="Times New Roman" w:hAnsi="Times New Roman"/>
          <w:sz w:val="20"/>
          <w:szCs w:val="20"/>
          <w:color w:val="auto"/>
        </w:rPr>
        <w:t>” shall have the meaning provided in the definition of the term “Agent-Related Distress Event.”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Distressed Person</w:t>
      </w:r>
      <w:r>
        <w:rPr>
          <w:rFonts w:ascii="Times New Roman" w:cs="Times New Roman" w:eastAsia="Times New Roman" w:hAnsi="Times New Roman"/>
          <w:sz w:val="20"/>
          <w:szCs w:val="20"/>
          <w:color w:val="auto"/>
        </w:rPr>
        <w:t>” shall have the meaning provided in the definition of the term “Lender-Related Distress Event.”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ind w:right="2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Domestic Subsidiary</w:t>
      </w:r>
      <w:r>
        <w:rPr>
          <w:rFonts w:ascii="Times New Roman" w:cs="Times New Roman" w:eastAsia="Times New Roman" w:hAnsi="Times New Roman"/>
          <w:sz w:val="20"/>
          <w:szCs w:val="20"/>
          <w:color w:val="auto"/>
        </w:rPr>
        <w:t>” means any direct or indirect Subsidiary of the Borrower that is organized under the Laws of the United States, any state thereof or the District of Columbia.</w:t>
      </w:r>
    </w:p>
    <w:p>
      <w:pPr>
        <w:spacing w:after="0" w:line="152"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means (1) any credit institution or investment firm established in any EEA Member Country which is subject to the supervision of an EEA Resolution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spacing w:after="0" w:line="254" w:lineRule="auto"/>
        <w:rPr>
          <w:sz w:val="20"/>
          <w:szCs w:val="20"/>
          <w:color w:val="auto"/>
        </w:rPr>
      </w:pPr>
      <w:r>
        <w:rPr>
          <w:rFonts w:ascii="Times New Roman" w:cs="Times New Roman" w:eastAsia="Times New Roman" w:hAnsi="Times New Roman"/>
          <w:sz w:val="20"/>
          <w:szCs w:val="20"/>
          <w:color w:val="auto"/>
        </w:rPr>
        <w:t xml:space="preserve">Authority, (2)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this definition or (3)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ind w:right="1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EMU</w:t>
      </w:r>
      <w:r>
        <w:rPr>
          <w:rFonts w:ascii="Times New Roman" w:cs="Times New Roman" w:eastAsia="Times New Roman" w:hAnsi="Times New Roman"/>
          <w:sz w:val="20"/>
          <w:szCs w:val="20"/>
          <w:color w:val="auto"/>
        </w:rPr>
        <w:t>” means the economic and monetary union as contemplated in the Treaty on European Union.</w:t>
      </w:r>
    </w:p>
    <w:p>
      <w:pPr>
        <w:spacing w:after="0" w:line="216" w:lineRule="exact"/>
        <w:rPr>
          <w:sz w:val="20"/>
          <w:szCs w:val="20"/>
          <w:color w:val="auto"/>
        </w:rPr>
      </w:pPr>
    </w:p>
    <w:p>
      <w:pPr>
        <w:ind w:right="2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w:t>
      </w:r>
      <w:r>
        <w:rPr>
          <w:rFonts w:ascii="Times New Roman" w:cs="Times New Roman" w:eastAsia="Times New Roman" w:hAnsi="Times New Roman"/>
          <w:sz w:val="20"/>
          <w:szCs w:val="20"/>
          <w:color w:val="auto"/>
        </w:rPr>
        <w:t>” means ambient air, indoor air, surface water, groundwater, drinking water, soil, surface and sub-surface strata, sediments and natural resources such as wetlands, flora and fauna.</w:t>
      </w:r>
    </w:p>
    <w:p>
      <w:pPr>
        <w:spacing w:after="0" w:line="152" w:lineRule="exact"/>
        <w:rPr>
          <w:sz w:val="20"/>
          <w:szCs w:val="20"/>
          <w:color w:val="auto"/>
        </w:rPr>
      </w:pPr>
    </w:p>
    <w:p>
      <w:pPr>
        <w:ind w:right="5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any and all Laws relating to pollution or the protection of the Environment or, to the extent relating to exposure to Hazardous Materials, worker health and safety.</w:t>
      </w:r>
    </w:p>
    <w:p>
      <w:pPr>
        <w:spacing w:after="0" w:line="152" w:lineRule="exact"/>
        <w:rPr>
          <w:sz w:val="20"/>
          <w:szCs w:val="20"/>
          <w:color w:val="auto"/>
        </w:rPr>
      </w:pPr>
    </w:p>
    <w:p>
      <w:pPr>
        <w:ind w:right="8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Liability</w:t>
      </w:r>
      <w:r>
        <w:rPr>
          <w:rFonts w:ascii="Times New Roman" w:cs="Times New Roman" w:eastAsia="Times New Roman" w:hAnsi="Times New Roman"/>
          <w:sz w:val="20"/>
          <w:szCs w:val="20"/>
          <w:color w:val="auto"/>
        </w:rPr>
        <w:t>” means any liability (including any liability for damages, costs of environmental remediation, fines, penalties or indemnities) of any Loan Party or any of its Subsidiaries resulting from or based upon (1) violation of or non-compliance with any Environmental Law, (2) the generation, use, handling, management, transportation, storage, treatment or disposal of any Hazardous Materials, (3) exposure to any Hazardous Materials, (4) the Release or threatened Release of any Hazardous Materials or (5) any contract or other written agreement to the extent liability is assumed or imposed with respect to any of the foregoing.</w:t>
      </w:r>
    </w:p>
    <w:p>
      <w:pPr>
        <w:spacing w:after="0" w:line="180" w:lineRule="exact"/>
        <w:rPr>
          <w:sz w:val="20"/>
          <w:szCs w:val="20"/>
          <w:color w:val="auto"/>
        </w:rPr>
      </w:pPr>
    </w:p>
    <w:p>
      <w:pPr>
        <w:ind w:right="120"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Equal Priority Intercreditor Agreement</w:t>
      </w:r>
      <w:r>
        <w:rPr>
          <w:rFonts w:ascii="Times New Roman" w:cs="Times New Roman" w:eastAsia="Times New Roman" w:hAnsi="Times New Roman"/>
          <w:sz w:val="20"/>
          <w:szCs w:val="20"/>
          <w:color w:val="auto"/>
        </w:rPr>
        <w:t>” means, to the extent executed in connection with the incurrence of Indebtedness secured by Liens on the Collateral which are intended to rank equal in priority to the Liens on the Collateral securing the First Lien Obligations under this Agreement (but without regard to the control of remedies) (the “</w:t>
      </w:r>
      <w:r>
        <w:rPr>
          <w:rFonts w:ascii="Times New Roman" w:cs="Times New Roman" w:eastAsia="Times New Roman" w:hAnsi="Times New Roman"/>
          <w:sz w:val="20"/>
          <w:szCs w:val="20"/>
          <w:b w:val="1"/>
          <w:bCs w:val="1"/>
          <w:color w:val="auto"/>
        </w:rPr>
        <w:t>Pari Passu Indebtedness</w:t>
      </w:r>
      <w:r>
        <w:rPr>
          <w:rFonts w:ascii="Times New Roman" w:cs="Times New Roman" w:eastAsia="Times New Roman" w:hAnsi="Times New Roman"/>
          <w:sz w:val="20"/>
          <w:szCs w:val="20"/>
          <w:color w:val="auto"/>
        </w:rPr>
        <w:t xml:space="preserve">”), at the option of the Borrower and the Administrative Agent acting together in good faith, either (1) an intercreditor agreement substantially in the form of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 together with any changes thereto which are reasonably acceptable to the Borrower and the Administrative Agent or (2) a customary intercreditor agreement in form and substance reasonably acceptable to the Borrower and the Administrative Agent, in each case, which agreement shall provide that the Liens on the Collateral securing such Indebtedness shall rank equal in priority to the Liens on the Collateral securing the First Lien Obligations under this Agreement (but without regard to the control of remedies).</w:t>
      </w:r>
    </w:p>
    <w:p>
      <w:pPr>
        <w:spacing w:after="0" w:line="182" w:lineRule="exact"/>
        <w:rPr>
          <w:sz w:val="20"/>
          <w:szCs w:val="20"/>
          <w:color w:val="auto"/>
        </w:rPr>
      </w:pPr>
    </w:p>
    <w:p>
      <w:pPr>
        <w:jc w:val="both"/>
        <w:ind w:right="1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Interests</w:t>
      </w:r>
      <w:r>
        <w:rPr>
          <w:rFonts w:ascii="Times New Roman" w:cs="Times New Roman" w:eastAsia="Times New Roman" w:hAnsi="Times New Roman"/>
          <w:sz w:val="20"/>
          <w:szCs w:val="20"/>
          <w:color w:val="auto"/>
        </w:rPr>
        <w:t>” means, with respect to any Person, the Capital Stock of such Person and all warrants, options or other rights to acquire Capital Stock of such Person, but excluding any debt security that is convertible into, or exchangeable for, Capital Stock of such Person.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Equity Offering</w:t>
      </w:r>
      <w:r>
        <w:rPr>
          <w:rFonts w:ascii="Times New Roman" w:cs="Times New Roman" w:eastAsia="Times New Roman" w:hAnsi="Times New Roman"/>
          <w:sz w:val="19"/>
          <w:szCs w:val="19"/>
          <w:color w:val="auto"/>
        </w:rPr>
        <w:t>” means any public or private sale of common Equity Interest or Preferred Stock of the Borrower or any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Parent Company (excluding Disqualified Stock), other than:</w:t>
      </w:r>
    </w:p>
    <w:p>
      <w:pPr>
        <w:spacing w:after="0" w:line="194" w:lineRule="exact"/>
        <w:rPr>
          <w:sz w:val="20"/>
          <w:szCs w:val="20"/>
          <w:color w:val="auto"/>
        </w:rPr>
      </w:pPr>
    </w:p>
    <w:p>
      <w:pPr>
        <w:ind w:left="1900" w:hanging="395"/>
        <w:spacing w:after="0"/>
        <w:tabs>
          <w:tab w:leader="none" w:pos="19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offerings with respect to the Borrower’s or any Parent Company’s common equity registered on Form S-4 or</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issuances to any Restricted Subsidiary of the Borrower;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public or private sale that constitutes an Excluded Contribution.</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16"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trade or business (whether or not incorporated) that together with Holdings or the Borrower is treated as a single employer within the meaning of Section 414(b) or (c) of the Code (and, solely with respect to Section 412 of the Code, within the meaning of Section 414(m) or (o) of the Code) or Section 4001 of ERISA.</w:t>
      </w:r>
    </w:p>
    <w:p>
      <w:pPr>
        <w:spacing w:after="0" w:line="169" w:lineRule="exact"/>
        <w:rPr>
          <w:sz w:val="20"/>
          <w:szCs w:val="20"/>
          <w:color w:val="auto"/>
        </w:rPr>
      </w:pPr>
    </w:p>
    <w:p>
      <w:pPr>
        <w:ind w:right="20"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 Event</w:t>
      </w:r>
      <w:r>
        <w:rPr>
          <w:rFonts w:ascii="Times New Roman" w:cs="Times New Roman" w:eastAsia="Times New Roman" w:hAnsi="Times New Roman"/>
          <w:sz w:val="19"/>
          <w:szCs w:val="19"/>
          <w:color w:val="auto"/>
        </w:rPr>
        <w:t>” means (1) a Reportable Event with respect to a Pension Plan; (2) a withdrawal by the Borrower, Holdings or any of their respective ERISA Affiliates from a Pension Plan subject to Section 4063 of ERISA during a plan year in which it was a substantial employer (as defined in Section 4001(a)(2) of ERISA) or a cessation of operations that is treated as such a withdrawal under Section 4062(e) of ERISA; (3) a complete or partial withdrawal by the Borrower, Holdings or any of their respective ERISA Affiliates from a Multiemployer Plan or written notification is provided to the Borrower, Holdings or any of their respective ERISA Affiliates concerning the imposition of withdrawal liability; (4) written notification that a Multiemployer Plan is “insolvent” (within the meaning of Section 4245 of ERISA) or has been determined to be in “endangered” or “critical” status (within the meaning of Section 432 of the Code or Section 305 of ERISA); (5) the filing under Section 4041(c) of ERISA of a notice of intent to terminate a Pension Plan, the treatment of a Pension Plan or Multiemployer Plan amendment as a termination under Sections 4041 or 4041A of ERISA, or the commencement in writing of proceedings by the PBGC to terminate a Pension Plan or Multiemployer Plan; (6) the imposition of any liability under Title IV of ERISA, other than for the payment of PBGC premiums due but not delinquent under Section 4007 of ERISA, upon the Borrower, Holdings, or any of their respective ERISA Affiliates; (7) an event or condition which constitutes grounds under Section 4042 of ERISA for the termination of, or the appointment of a trustee to administer, any Pension Plan or Multiemployer Plan; (8) a failure to satisfy the minimum funding standard (within the meaning of Section 302 of ERISA or Section 412 of the Code) with respect to a Pension Plan, whether or not waived; (9) the application for a minimum funding waiver under Section 302(c) of ERISA with respect to a Pension Plan; (10) the imposition of a lien under Section 303(k) of ERISA or Section 430(k) of the Code with respect to any Pension Plan; (11) a determination that any Pension Plan is in “at risk” status (within the meaning of Section 303 of ERISA or Section 430 of the Code); (12) the occurrence of an event, transaction or failure that results in or would reasonably be expected to result in liability to the Borrower or Holdings under Title I of ERISA or a tax under any of Sections 4971 through 5000 of the Code; or (13) disqualification by the Internal Revenue Service of a Plan that is intended to qualify under Section 401(a) of the Code, or the imposition of a sanction in lieu of disqualification.</w:t>
      </w:r>
    </w:p>
    <w:p>
      <w:pPr>
        <w:spacing w:after="0" w:line="200" w:lineRule="exact"/>
        <w:rPr>
          <w:sz w:val="20"/>
          <w:szCs w:val="20"/>
          <w:color w:val="auto"/>
        </w:rPr>
      </w:pP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w:t>
      </w:r>
      <w:r>
        <w:rPr>
          <w:rFonts w:ascii="Times New Roman" w:cs="Times New Roman" w:eastAsia="Times New Roman" w:hAnsi="Times New Roman"/>
          <w:sz w:val="20"/>
          <w:szCs w:val="20"/>
          <w:color w:val="auto"/>
        </w:rPr>
        <w:t>” has the meaning specified in the definition of “Indebtedness.”</w:t>
      </w:r>
    </w:p>
    <w:p>
      <w:pPr>
        <w:spacing w:after="0" w:line="216" w:lineRule="exact"/>
        <w:rPr>
          <w:sz w:val="20"/>
          <w:szCs w:val="20"/>
          <w:color w:val="auto"/>
        </w:rPr>
      </w:pPr>
    </w:p>
    <w:p>
      <w:pPr>
        <w:ind w:right="1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Escrowed Proceeds</w:t>
      </w:r>
      <w:r>
        <w:rPr>
          <w:rFonts w:ascii="Times New Roman" w:cs="Times New Roman" w:eastAsia="Times New Roman" w:hAnsi="Times New Roman"/>
          <w:sz w:val="20"/>
          <w:szCs w:val="20"/>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37" w:name="page138"/>
    <w:bookmarkEnd w:id="137"/>
    <w:p>
      <w:pPr>
        <w:ind w:right="280"/>
        <w:spacing w:after="0" w:line="269" w:lineRule="auto"/>
        <w:rPr>
          <w:sz w:val="20"/>
          <w:szCs w:val="20"/>
          <w:color w:val="auto"/>
        </w:rPr>
      </w:pPr>
      <w:r>
        <w:rPr>
          <w:rFonts w:ascii="Times New Roman" w:cs="Times New Roman" w:eastAsia="Times New Roman" w:hAnsi="Times New Roman"/>
          <w:sz w:val="20"/>
          <w:szCs w:val="20"/>
          <w:color w:val="auto"/>
        </w:rPr>
        <w:t>deposit in such escrow account upon satisfaction of certain conditions or the occurrence of certain events. The term “Escrowed Proceeds” shall include any interest earned on the amounts held in escrow.</w:t>
      </w:r>
    </w:p>
    <w:p>
      <w:pPr>
        <w:spacing w:after="0" w:line="155" w:lineRule="exact"/>
        <w:rPr>
          <w:sz w:val="20"/>
          <w:szCs w:val="20"/>
          <w:color w:val="auto"/>
        </w:rPr>
      </w:pPr>
    </w:p>
    <w:p>
      <w:pPr>
        <w:ind w:right="9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euro</w:t>
      </w:r>
      <w:r>
        <w:rPr>
          <w:rFonts w:ascii="Times New Roman" w:cs="Times New Roman" w:eastAsia="Times New Roman" w:hAnsi="Times New Roman"/>
          <w:sz w:val="20"/>
          <w:szCs w:val="20"/>
          <w:color w:val="auto"/>
        </w:rPr>
        <w:t>” means the single currency of participating member states of the EMU.</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5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of the SEC promulgated thereunder.</w:t>
      </w:r>
    </w:p>
    <w:p>
      <w:pPr>
        <w:spacing w:after="0" w:line="152" w:lineRule="exact"/>
        <w:rPr>
          <w:sz w:val="20"/>
          <w:szCs w:val="20"/>
          <w:color w:val="auto"/>
        </w:rPr>
      </w:pPr>
    </w:p>
    <w:p>
      <w:pPr>
        <w:ind w:right="20" w:firstLine="1497"/>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Assets</w:t>
      </w:r>
      <w:r>
        <w:rPr>
          <w:rFonts w:ascii="Times New Roman" w:cs="Times New Roman" w:eastAsia="Times New Roman" w:hAnsi="Times New Roman"/>
          <w:sz w:val="19"/>
          <w:szCs w:val="19"/>
          <w:color w:val="auto"/>
        </w:rPr>
        <w:t>” means (1) (a) any fee-owned real property with a fair market value (as reasonably estimated by the Borrower in good faith) not to exceed $15,000,000, (b) any leasehold interest in real property and (c) any fee-owned real property (whether already mortgaged, or required or intended to be mortgaged, at any time of determination) located in a flood hazard area or such property or mortgage thereon which would be subject to any flood insurance due diligence (other than in respect of initial flood hazard determinations as to whether any property is located in a flood hazard area or as otherwise permitted under this clause (c) with respect to flood insurance), flood insurance requirements or compliance with any Flood Insurance Laws (it being agreed that if it is subsequently determined that any such improved real property subject to, or otherwise required or intended to be subject to, a mortgage is located in a flood hazard area, such property {shall be deemed to be }an Excluded Asset until a determination is made that such property is not located in a flood hazard area and does not require flood insurance, and (ii) if there is an existing mortgage on such property, such mortgage shall be released if located in a special flood hazard area and would require flood insurance or if it cannot be determined whether such fee owned real property is located in a special flood hazard area or would require flood insurance if the time or information necessary to make such determination would (as determined by the Borrower in good faith) delay or impair the intended date of funding any Loan or effectiveness of any amendment or supplement under this Agreement), (2) motor vehicles, airplanes and other assets subject to certificates of title, except to the extent a security interest therein can be perfected by the filing of a UCC financing statement, (3) any commercial tort claim that is not expected to result in a judgment or settlement payment in favor of a Loan Party in excess of $15,000,000 (as determined by the Borrower in good faith) and commercial tort claims for which no compliant or counterclaim has been filed in a court of competent jurisdiction, (4) any governmental or regulatory licenses, authorizations, certificates, charters, franchises, approvals and consents (whether Federal, State, or otherwise) to the extent a security interest therein is prohibited or restricted thereby or requires any consent, acknowledgment or authorization from a Governmental Authority not obtained (without any requirement to obtain such consent, acknowledgment or authorization) other than proceeds and receivables thereof, the assignment of which is expressly deemed effective under the UCC notwithstanding such prohibition,</w:t>
      </w:r>
    </w:p>
    <w:p>
      <w:pPr>
        <w:spacing w:after="0" w:line="10" w:lineRule="exact"/>
        <w:rPr>
          <w:sz w:val="20"/>
          <w:szCs w:val="20"/>
          <w:color w:val="auto"/>
        </w:rPr>
      </w:pPr>
    </w:p>
    <w:p>
      <w:pPr>
        <w:ind w:firstLine="8"/>
        <w:spacing w:after="0"/>
        <w:tabs>
          <w:tab w:leader="none" w:pos="2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to the extent the pledge thereof or grant of security interests therein (a) is prohibited or restricted by any applicable Law, rule or regulation or would require any consent, approval or authorization of any governmental or regulatory authority not obtained (without any requirement to obtain such any consent, approval or authorization) after giving effect to the applicable anti-assignment provisions of the UCC and other applicable Law (other than proceeds and receivables thereof, the assignment of which is expressly deemed effective under the UCC notwithstanding such prohibition), (b) would cause the destruction, invalidation or abandonment of such asset under applicable Law (solely with respect to any intellectual property) or (c) is prohibited by any contract or would require any consent, approval, license or other authorization of any third party (other than Holdings or its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requirement existed on the Closing Date or at the time of the acquisition of such asset, as applicable, and was not incurred in contemplation thereof (other than in the case of capital leases and purchase money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 xml:space="preserve">financings)) or governmental or regulatory authority not obtained (without any requirement to obtain such consent, approval, license or other authorization), other than to the extent such prohibition or restriction is ineffective under the UCC and other applicable Law, (6) margin stock and Equity Interests in any Person that is not the Borrower or a wholly owned Material Subsidiary of the Borrower that is a Restricted Subsidiary, (7) Equity Interests in Immaterial Subsidiaries and Excluded Subsidiaries other than Subsidiaries that are (x) Excluded Subsidiaries solely pursuant to clause (2) or (3) of the definition of “Excluded Subsidiaries” and (y) directly owned by a Loan Party (provided that if a pledge of the Equity Interests in any Foreign Subsidiary or Foreign Subsidiary Holdco is required pursuant to this Agreement, the pledge of the Equity Interests of such Subsidiary shall be limited to no more than 65% of the total issued and outstanding voting Equity Interests of such first tier Foreign Subsidiary or Foreign Subsidiary Holdco, as applicable), (8) any lease, license, sublicense or agreement (not otherwise subject to clause (5) above) or any property that is subject to a capital lease, purchase money security interest or similar arrangement, in each case permitted by this Agreement, to the extent that a grant of a security interest therein (a) would violate or invalidate such lease, license, sublicense or agreement or purchase money security interest or similar arrangement or create a right of termination in favor of any other party thereto (other than Holdings or any of its Subsidiaries) after giving effect to the applicable anti-assignment provisions of the UCC and other applicable Law (other than proceeds and receivables thereof, the assignment of which is expressly deemed effective under the UCC notwithstanding such prohibition) or (b) would require governmental or regulatory approval, consent or authorization not obtained (without any requirement to obtain such approval, consent or authorization), other than proceeds and receivables thereof, the assignment of which is expressly deemed effective under the UCC notwithstanding such prohibition, (9)(x) cash and Cash Equivalents, deposit, securities, commodities and other accounts, securities entitlements and related assets, except, in each case, to the extent constituting identifiable proceeds of Collateral a security interest in which is perfected by the filing of an “all assets” UCC financing statement by the Administrative Agent or automatically without any further action or filing by the Administrative Agent and (y) any deposit account maintained and used exclusively as a payroll account, withholding tax account, or fiduciary or escrow account that holds funds solely for the benefit of third parties (other than the Borrower or any of its Subsidiaries that is a Guarantor), (10) letter of credit rights, except to the extent consisting of supporting obligations for other Collateral, a security interest in which can be perfected by the filing of an “all assets” UCC financing statement, (11)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(12) assets where the burden or cost (including any adverse tax consequences to the Borrower, any Parent Company or any Subsidiary that are not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of obtaining a security interest therein or perfection thereof exceeds the practical benefit to the Lenders afforded thereby as reasonably determined between the Borrower and the Administrative Agent, (13) any assets to the extent a security interest in such assets or perfection thereof would result in adverse tax consequences to the Borrower, any Parent Company or any Subsidiary (that is not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as determined by the Borrower in good faith, in consultation with the Administrative Agent and (14) any assets located in or governed by any non-U.S. jurisdiction law or regulation (other than (a) Equity Interests and intercompany debt of Foreign Subsidiaries otherwise required to be pledged pursuant to the Collateral Documents and (b) assets that can be perfected by the filing of a UCC financing statement), including any intellectual property located in a non-U.S. jurisdiction, in each case of the foregoing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color w:val="auto"/>
        </w:rPr>
        <w:t>, subject to the Excluded Subsidiary Joinder Exception.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ind w:right="2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Contribution</w:t>
      </w:r>
      <w:r>
        <w:rPr>
          <w:rFonts w:ascii="Times New Roman" w:cs="Times New Roman" w:eastAsia="Times New Roman" w:hAnsi="Times New Roman"/>
          <w:sz w:val="20"/>
          <w:szCs w:val="20"/>
          <w:color w:val="auto"/>
        </w:rPr>
        <w:t>” means net cash proceeds or the fair market value of marketable securities or the fair market value of Qualified Proceeds received by the Borrower from:</w:t>
      </w:r>
    </w:p>
    <w:p>
      <w:pPr>
        <w:spacing w:after="0" w:line="156" w:lineRule="exact"/>
        <w:rPr>
          <w:sz w:val="20"/>
          <w:szCs w:val="20"/>
          <w:color w:val="auto"/>
        </w:rPr>
      </w:pPr>
    </w:p>
    <w:p>
      <w:pPr>
        <w:ind w:left="1900" w:hanging="395"/>
        <w:spacing w:after="0"/>
        <w:tabs>
          <w:tab w:leader="none" w:pos="19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by any Person other than the Borrower or a Restricted Subsidiary to its common equity capital;</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distributions, fees and other payments from any joint ventures that are not Restricted Subsidiaries; and</w:t>
      </w:r>
    </w:p>
    <w:p>
      <w:pPr>
        <w:spacing w:after="0" w:line="215" w:lineRule="exact"/>
        <w:rPr>
          <w:rFonts w:ascii="Times New Roman" w:cs="Times New Roman" w:eastAsia="Times New Roman" w:hAnsi="Times New Roman"/>
          <w:sz w:val="20"/>
          <w:szCs w:val="20"/>
          <w:color w:val="auto"/>
        </w:rPr>
      </w:pPr>
    </w:p>
    <w:p>
      <w:pPr>
        <w:ind w:left="760" w:right="280" w:firstLine="745"/>
        <w:spacing w:after="0" w:line="254" w:lineRule="auto"/>
        <w:tabs>
          <w:tab w:leader="none" w:pos="190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(other than to a Restricted Subsidiary or to any management equity plan or stock option plan or any other management or employee benefit plan or agreement of the Borrower) of Capital Stock (other than Disqualified Stock and Designated Preferred Stock) of the Borrower;</w:t>
      </w:r>
    </w:p>
    <w:p>
      <w:pPr>
        <w:spacing w:after="0" w:line="17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in each case, designated as Excluded Contributions pursuant to an Officer’s Certificate and that are excluded from the calculation set forth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Excluded Contributions shall not include Cure Amounts.</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Information</w:t>
      </w:r>
      <w:r>
        <w:rPr>
          <w:rFonts w:ascii="Times New Roman" w:cs="Times New Roman" w:eastAsia="Times New Roman" w:hAnsi="Times New Roman"/>
          <w:sz w:val="20"/>
          <w:szCs w:val="20"/>
          <w:color w:val="auto"/>
        </w:rPr>
        <w:t>” has the meaning specified in the definition of “Big Boy Letter.”</w:t>
      </w:r>
    </w:p>
    <w:p>
      <w:pPr>
        <w:spacing w:after="0" w:line="216" w:lineRule="exact"/>
        <w:rPr>
          <w:sz w:val="20"/>
          <w:szCs w:val="20"/>
          <w:color w:val="auto"/>
        </w:rPr>
      </w:pPr>
    </w:p>
    <w:p>
      <w:pPr>
        <w:ind w:right="8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Proceeds</w:t>
      </w:r>
      <w:r>
        <w:rPr>
          <w:rFonts w:ascii="Times New Roman" w:cs="Times New Roman" w:eastAsia="Times New Roman" w:hAnsi="Times New Roman"/>
          <w:sz w:val="20"/>
          <w:szCs w:val="20"/>
          <w:color w:val="auto"/>
        </w:rPr>
        <w:t xml:space="preserve">” means, with respect to any Asset Sale or Casualty Event, the sum of, (1) any Net Proceeds therefrom that constitute Declined Proceeds and (2) any Net Proceeds therefrom that otherwise are waived by the Required Facility Lenders from the requirement to be applied to prepay the applicable Term Loans pursuant to </w:t>
      </w:r>
      <w:r>
        <w:rPr>
          <w:rFonts w:ascii="Times New Roman" w:cs="Times New Roman" w:eastAsia="Times New Roman" w:hAnsi="Times New Roman"/>
          <w:sz w:val="20"/>
          <w:szCs w:val="20"/>
          <w:u w:val="single" w:color="auto"/>
          <w:color w:val="auto"/>
        </w:rPr>
        <w:t>Section 2.05(2)(b)</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right="5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Subsidiaries</w:t>
      </w:r>
      <w:r>
        <w:rPr>
          <w:rFonts w:ascii="Times New Roman" w:cs="Times New Roman" w:eastAsia="Times New Roman" w:hAnsi="Times New Roman"/>
          <w:sz w:val="20"/>
          <w:szCs w:val="20"/>
          <w:color w:val="auto"/>
        </w:rPr>
        <w:t>” means all of the following and “</w:t>
      </w:r>
      <w:r>
        <w:rPr>
          <w:rFonts w:ascii="Times New Roman" w:cs="Times New Roman" w:eastAsia="Times New Roman" w:hAnsi="Times New Roman"/>
          <w:sz w:val="20"/>
          <w:szCs w:val="20"/>
          <w:b w:val="1"/>
          <w:bCs w:val="1"/>
          <w:color w:val="auto"/>
        </w:rPr>
        <w:t>Excluded Subsidiary</w:t>
      </w:r>
      <w:r>
        <w:rPr>
          <w:rFonts w:ascii="Times New Roman" w:cs="Times New Roman" w:eastAsia="Times New Roman" w:hAnsi="Times New Roman"/>
          <w:sz w:val="20"/>
          <w:szCs w:val="20"/>
          <w:color w:val="auto"/>
        </w:rPr>
        <w:t>” means any of them (in each case, subject to the Excluded Subsidiary Joinder Exception):</w:t>
      </w:r>
    </w:p>
    <w:p>
      <w:pPr>
        <w:spacing w:after="0" w:line="156" w:lineRule="exact"/>
        <w:rPr>
          <w:sz w:val="20"/>
          <w:szCs w:val="20"/>
          <w:color w:val="auto"/>
        </w:rPr>
      </w:pPr>
    </w:p>
    <w:p>
      <w:pPr>
        <w:ind w:left="1900" w:hanging="395"/>
        <w:spacing w:after="0"/>
        <w:tabs>
          <w:tab w:leader="none" w:pos="19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not a direct, wholly owned Subsidiary of the Borrower or a Subsidiary Guarantor,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Subsidiary,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Subsidiary Holdco,</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Domestic Subsidiary that is a Subsidiary of any (a) Foreign Subsidiary or (b) Foreign Subsidiary Holdco,</w:t>
      </w:r>
    </w:p>
    <w:p>
      <w:pPr>
        <w:spacing w:after="0" w:line="215" w:lineRule="exact"/>
        <w:rPr>
          <w:rFonts w:ascii="Times New Roman" w:cs="Times New Roman" w:eastAsia="Times New Roman" w:hAnsi="Times New Roman"/>
          <w:sz w:val="20"/>
          <w:szCs w:val="20"/>
          <w:color w:val="auto"/>
        </w:rPr>
      </w:pPr>
    </w:p>
    <w:p>
      <w:pPr>
        <w:ind w:left="760" w:firstLine="745"/>
        <w:spacing w:after="0" w:line="243" w:lineRule="auto"/>
        <w:tabs>
          <w:tab w:leader="none" w:pos="190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(including any regulated entity that is subject to net worth or net capital or similar capital and surplus restrictions) that is prohibited or restricted by applicable Law or by Contractual Obligation (including in respect of assumed Indebtedness permitted hereunder and not created in contemplation of the applicable investment or acquisition) existing on the Closing Date (or, with respect to any Subsidiary acquired by the Borrower or a Restricted Subsidiary after the Closing Date (and so long as such Contractual Obligation was not incurred in contemplation of such investment or acquisition), on the date such Subsidiary is so acquired) from providing a Guaranty (including any Broker-Dealer Regulated Subsidiary) or if such Guaranty would require governmental (including regulatory) or third party (other than any Loan Party or their respective Subsidiaries) consent or authorization not received (without any obligation to obtain such consent or authorization),</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140" w:name="page141"/>
    <w:bookmarkEnd w:id="140"/>
    <w:p>
      <w:pPr>
        <w:ind w:left="1900" w:hanging="395"/>
        <w:spacing w:after="0"/>
        <w:tabs>
          <w:tab w:leader="none" w:pos="19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special purpose vehicle (or similar entity), receivables subsidiary or any Securitization Subsidiary,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Captive Insurance Subsidiary or not-for-profit Subsidiary,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not a Material Subsidiary,</w:t>
      </w:r>
    </w:p>
    <w:p>
      <w:pPr>
        <w:spacing w:after="0" w:line="215" w:lineRule="exact"/>
        <w:rPr>
          <w:rFonts w:ascii="Times New Roman" w:cs="Times New Roman" w:eastAsia="Times New Roman" w:hAnsi="Times New Roman"/>
          <w:sz w:val="20"/>
          <w:szCs w:val="20"/>
          <w:color w:val="auto"/>
        </w:rPr>
      </w:pPr>
    </w:p>
    <w:p>
      <w:pPr>
        <w:ind w:left="760" w:firstLine="745"/>
        <w:spacing w:after="0" w:line="254" w:lineRule="auto"/>
        <w:tabs>
          <w:tab w:leader="none" w:pos="19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where the Borrower and the Administrative Agent reasonably determine that the burden or cost (including any adverse tax consequences to the Borrower any of its Subsidiaries or any Parent Company, which are not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of providing the Guaranty will outweigh the benefits to be obtained by the Lenders therefrom,</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Unrestricted Subsidiary,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Broker-Dealer Regulated Subsidiary,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Subsidiaries as mutually agreed between the Borrower and the Administrative Agent.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Subsidiary Joinder Exception</w:t>
      </w:r>
      <w:r>
        <w:rPr>
          <w:rFonts w:ascii="Times New Roman" w:cs="Times New Roman" w:eastAsia="Times New Roman" w:hAnsi="Times New Roman"/>
          <w:sz w:val="20"/>
          <w:szCs w:val="20"/>
          <w:color w:val="auto"/>
        </w:rPr>
        <w:t>” has the meaning set forth in the definition of “Collateral and Guarantee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Requirement.”</w:t>
      </w:r>
    </w:p>
    <w:p>
      <w:pPr>
        <w:spacing w:after="0" w:line="190" w:lineRule="exact"/>
        <w:rPr>
          <w:sz w:val="20"/>
          <w:szCs w:val="20"/>
          <w:color w:val="auto"/>
        </w:rPr>
      </w:pPr>
    </w:p>
    <w:p>
      <w:pPr>
        <w:ind w:right="20" w:firstLine="149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Swap Obligation</w:t>
      </w:r>
      <w:r>
        <w:rPr>
          <w:rFonts w:ascii="Times New Roman" w:cs="Times New Roman" w:eastAsia="Times New Roman" w:hAnsi="Times New Roman"/>
          <w:sz w:val="20"/>
          <w:szCs w:val="20"/>
          <w:color w:val="auto"/>
        </w:rPr>
        <w:t>” means, with respect to any Loan Party, (1) any obligation to pay or perform under any agreement, contract or transaction that constitutes a “swap” within the meaning of Section 1a(47) of the Commodity Exchange Act (each such obligation, a “</w:t>
      </w:r>
      <w:r>
        <w:rPr>
          <w:rFonts w:ascii="Times New Roman" w:cs="Times New Roman" w:eastAsia="Times New Roman" w:hAnsi="Times New Roman"/>
          <w:sz w:val="20"/>
          <w:szCs w:val="20"/>
          <w:b w:val="1"/>
          <w:bCs w:val="1"/>
          <w:color w:val="auto"/>
        </w:rPr>
        <w:t>Swap Obligation</w:t>
      </w:r>
      <w:r>
        <w:rPr>
          <w:rFonts w:ascii="Times New Roman" w:cs="Times New Roman" w:eastAsia="Times New Roman" w:hAnsi="Times New Roman"/>
          <w:sz w:val="20"/>
          <w:szCs w:val="20"/>
          <w:color w:val="auto"/>
        </w:rPr>
        <w:t xml:space="preserve">”), if, and to the extent that, all or a portion of the guarantee of such Loan Party of, or the grant by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(a) by virtue of such Loan Party’s failure for any reason to constitute an “eligible contract participant” as defined in the Commodity Exchange Act and the regulations thereunder (determined after giving effect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of the Guaranty and any other “keepwell, support or other agreement” for the benefit of such Loan Party for all purposes of Section 1a(18)(A)(v)(II) of the Commodity Exchange Act) at the time the guarantee of such Loan Party, or a grant by such Loan Party of a security interest, becomes effective with respect to such Swap Obligation or (b) in the case of a Swap Obligation that is subject to a clearing requirement pursuant to section 2(h) of the Commodity Exchange Act, because such Loan Party is a “financial entity,” as defined in section 2(h)(7)(C) of the Commodity Exchange Act, at the time the guarantee of (or grant of such security interest by, as applicable) such Loan Party becomes or would become effective with respect to such Swap Obligation or (2) any other Swap Obligation designated as an “Excluded Swap Obligation” of such Loan Party as specified in any agreement between the relevant Loan Parties and hedge counterparty applicable to such Swap Obligations. If a Swap Obligation arises under a Master Agreement governing more than one swap, such exclusion shall apply only to the portion of such Swap Obligation that is attributable to swaps for which such guarantee or security interest becomes excluded in accordance with the first sentence of this definition.</w:t>
      </w:r>
    </w:p>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means, with respect to each Agent and each Lender,</w:t>
      </w:r>
    </w:p>
    <w:p>
      <w:pPr>
        <w:spacing w:after="0" w:line="220" w:lineRule="exact"/>
        <w:rPr>
          <w:sz w:val="20"/>
          <w:szCs w:val="20"/>
          <w:color w:val="auto"/>
        </w:rPr>
      </w:pPr>
    </w:p>
    <w:p>
      <w:pPr>
        <w:ind w:left="760" w:right="100" w:firstLine="745"/>
        <w:spacing w:after="0" w:line="274" w:lineRule="auto"/>
        <w:tabs>
          <w:tab w:leader="none" w:pos="1904"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Tax imposed on (or measured by) such Agent or Lender’s net income, profits (or net worth Tax in lieu of such Tax on net income or profits), gross income or franchise Taxes, in each case imposed by a jurisdiction as a result of such Agent or Lender being organized under the laws of or having its principal office or applicable Lending Office located in such jurisdiction</w:t>
      </w: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41" w:name="page142"/>
    <w:bookmarkEnd w:id="141"/>
    <w:p>
      <w:pPr>
        <w:ind w:left="760" w:right="20"/>
        <w:spacing w:after="0" w:line="246" w:lineRule="auto"/>
        <w:rPr>
          <w:sz w:val="20"/>
          <w:szCs w:val="20"/>
          <w:color w:val="auto"/>
        </w:rPr>
      </w:pPr>
      <w:r>
        <w:rPr>
          <w:rFonts w:ascii="Times New Roman" w:cs="Times New Roman" w:eastAsia="Times New Roman" w:hAnsi="Times New Roman"/>
          <w:sz w:val="20"/>
          <w:szCs w:val="20"/>
          <w:color w:val="auto"/>
        </w:rPr>
        <w:t>or as a result of any other present or former connection between such Agent or Lender and the jurisdiction (including as a result of such Agent or Lender carrying on a trade or business, having a permanent establishment or being a resident for Tax purposes in such jurisdiction), other than a connection arising solely from such Agent or Lender having executed, delivered, enforced, become a party to, performed its obligations under, received payments under, received or perfected a security interest under, engaged in any other transaction pursuant to, or sold or assigned an interest in, any Loan or Loan Document,</w:t>
      </w:r>
    </w:p>
    <w:p>
      <w:pPr>
        <w:spacing w:after="0" w:line="185" w:lineRule="exact"/>
        <w:rPr>
          <w:sz w:val="20"/>
          <w:szCs w:val="20"/>
          <w:color w:val="auto"/>
        </w:rPr>
      </w:pPr>
    </w:p>
    <w:p>
      <w:pPr>
        <w:ind w:left="760" w:right="200" w:firstLine="745"/>
        <w:spacing w:after="0" w:line="269" w:lineRule="auto"/>
        <w:tabs>
          <w:tab w:leader="none" w:pos="19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branch profits Tax under Section 884(a) of the Code, or any similar Tax, imposed by any jurisdiction described in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ind w:left="760" w:firstLine="745"/>
        <w:spacing w:after="0" w:line="242" w:lineRule="auto"/>
        <w:tabs>
          <w:tab w:leader="none" w:pos="19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pursuant to an assignment request by the Borrower under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any U.S. federal Tax that is withheld or required to be withheld on amounts payable to or for the account of a Lender with respect to an applicable interest in a Loan or Commitment pursuant to a Law in effect on the date such Lender (a) acquires such interest in the applicable Commitment or, if such Lender did not fund the applicable Loan pursuant to a prior Commitment, on the date such Lender acquires the applicable interest in such Loan (or where the Lender is a partnership for U.S. federal income Tax purposes, pursuant to a Law in effect on the later of the date on which such Lender acquires such interest or the date on which the affected partner becomes a partner of such Lender) or (b) designates a new Lending Office except, in the case of a Lender that designates a new Lending Office or is an assignee, to the extent that such Lender or partner (or its assignor, if any) was entitled, immediately prior to the time of designation of a new Lending Office (or assignment), to receive additional amounts from a Loan Party with respect to such U.S. federal Tax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Tax attributable to such Lender’s or Agent’s failure to comply with </w:t>
      </w:r>
      <w:r>
        <w:rPr>
          <w:rFonts w:ascii="Times New Roman" w:cs="Times New Roman" w:eastAsia="Times New Roman" w:hAnsi="Times New Roman"/>
          <w:sz w:val="20"/>
          <w:szCs w:val="20"/>
          <w:u w:val="single" w:color="auto"/>
          <w:color w:val="auto"/>
        </w:rPr>
        <w:t>Section 3.01(3)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3.01(7)</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respectively,</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imposed under FATCA,</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U.S. federal backup withholding under Section 3406 of the Code,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additions to taxes and penalties with respect to any taxes described in clauses (1) through (6) of this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w:t>
      </w:r>
    </w:p>
    <w:p>
      <w:pPr>
        <w:spacing w:after="0" w:line="190" w:lineRule="exact"/>
        <w:rPr>
          <w:sz w:val="20"/>
          <w:szCs w:val="20"/>
          <w:color w:val="auto"/>
        </w:rPr>
      </w:pPr>
    </w:p>
    <w:p>
      <w:pPr>
        <w:ind w:right="10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means that certain Credit Agreement, dated as of May 4, 2022, among the Borrower, Holdings, Capital One, National Association, as administrative agent, revolver agent and as collateral agent and the lenders and other parties from time to time party thereto, as amended, restated, amended and restated, supplemented or otherwise modified from time to time on or prior to the date hereof.</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Revolving Class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Term Loan Class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Expiring Credit Commitment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Revolving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Term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Extending Lender</w:t>
      </w:r>
      <w:r>
        <w:rPr>
          <w:rFonts w:ascii="Times New Roman" w:cs="Times New Roman" w:eastAsia="Times New Roman" w:hAnsi="Times New Roman"/>
          <w:sz w:val="20"/>
          <w:szCs w:val="20"/>
          <w:color w:val="auto"/>
        </w:rPr>
        <w:t>” means an Extending Revolving Lender or an Extending Term Lender, as the case may be.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Extending Revolving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Extending Term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5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w:t>
      </w:r>
      <w:r>
        <w:rPr>
          <w:rFonts w:ascii="Times New Roman" w:cs="Times New Roman" w:eastAsia="Times New Roman" w:hAnsi="Times New Roman"/>
          <w:sz w:val="20"/>
          <w:szCs w:val="20"/>
          <w:color w:val="auto"/>
        </w:rPr>
        <w:t xml:space="preserve">” means the establishment of an Extension Series by amending a Loan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the applicable Extension Amendment.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4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Minimum Condition</w:t>
      </w:r>
      <w:r>
        <w:rPr>
          <w:rFonts w:ascii="Times New Roman" w:cs="Times New Roman" w:eastAsia="Times New Roman" w:hAnsi="Times New Roman"/>
          <w:sz w:val="20"/>
          <w:szCs w:val="20"/>
          <w:color w:val="auto"/>
        </w:rPr>
        <w:t>” means a condition to consummating any Extension that a minimum amount (to be determined and specified in the relevant Extension Request, in the Borrower’s sole discretion) of any or all applicable Classes be submitted for Extension.</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Extension Request</w:t>
      </w:r>
      <w:r>
        <w:rPr>
          <w:rFonts w:ascii="Times New Roman" w:cs="Times New Roman" w:eastAsia="Times New Roman" w:hAnsi="Times New Roman"/>
          <w:sz w:val="19"/>
          <w:szCs w:val="19"/>
          <w:color w:val="auto"/>
        </w:rPr>
        <w:t>” means any Term Loan Extension Request or any Revolving Extension Request, as the case may be.</w:t>
      </w:r>
    </w:p>
    <w:p>
      <w:pPr>
        <w:spacing w:after="0" w:line="2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Series</w:t>
      </w:r>
      <w:r>
        <w:rPr>
          <w:rFonts w:ascii="Times New Roman" w:cs="Times New Roman" w:eastAsia="Times New Roman" w:hAnsi="Times New Roman"/>
          <w:sz w:val="20"/>
          <w:szCs w:val="20"/>
          <w:color w:val="auto"/>
        </w:rPr>
        <w:t>” means any Term Loan Extension Series or a Revolving Extension Series, as the case may be.</w:t>
      </w:r>
    </w:p>
    <w:p>
      <w:pPr>
        <w:spacing w:after="0" w:line="216" w:lineRule="exact"/>
        <w:rPr>
          <w:sz w:val="20"/>
          <w:szCs w:val="20"/>
          <w:color w:val="auto"/>
        </w:rPr>
      </w:pPr>
    </w:p>
    <w:p>
      <w:pPr>
        <w:ind w:right="300" w:firstLine="1497"/>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Facilities</w:t>
      </w:r>
      <w:r>
        <w:rPr>
          <w:rFonts w:ascii="Times New Roman" w:cs="Times New Roman" w:eastAsia="Times New Roman" w:hAnsi="Times New Roman"/>
          <w:sz w:val="19"/>
          <w:szCs w:val="19"/>
          <w:color w:val="auto"/>
        </w:rPr>
        <w:t>” means the Closing Date Term Loans, the Revolving Facility, the Closing Date Revolving Facility, a given Extension Series of Extended Revolving Commitments, a given Class of Other Term Loans, a given Extension Series of Extended Term Loans, a given Class of Incremental Term Loans, a given Class of Incremental Revolving Commitments, any Other Revolving Loan (or Commitment) or a given Class of Replacement Loans, as the context may require, and “</w:t>
      </w:r>
      <w:r>
        <w:rPr>
          <w:rFonts w:ascii="Times New Roman" w:cs="Times New Roman" w:eastAsia="Times New Roman" w:hAnsi="Times New Roman"/>
          <w:sz w:val="19"/>
          <w:szCs w:val="19"/>
          <w:b w:val="1"/>
          <w:bCs w:val="1"/>
          <w:color w:val="auto"/>
        </w:rPr>
        <w:t>Facility</w:t>
      </w:r>
      <w:r>
        <w:rPr>
          <w:rFonts w:ascii="Times New Roman" w:cs="Times New Roman" w:eastAsia="Times New Roman" w:hAnsi="Times New Roman"/>
          <w:sz w:val="19"/>
          <w:szCs w:val="19"/>
          <w:color w:val="auto"/>
        </w:rPr>
        <w:t>” means any of them.</w:t>
      </w:r>
    </w:p>
    <w:p>
      <w:pPr>
        <w:spacing w:after="0" w:line="158" w:lineRule="exact"/>
        <w:rPr>
          <w:sz w:val="20"/>
          <w:szCs w:val="20"/>
          <w:color w:val="auto"/>
        </w:rPr>
      </w:pPr>
    </w:p>
    <w:p>
      <w:pPr>
        <w:ind w:right="6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means, with respect to any asset or liability, the fair market value of such asset or liability as determined by the Borrower in good faith.</w:t>
      </w:r>
    </w:p>
    <w:p>
      <w:pPr>
        <w:spacing w:after="0" w:line="152"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in effect on the date hereof or any amended or successor version thereof that is substantively comparable and not materially more onerous to comply with (and, in each case, any current or future regulations promulgated thereunder or official interpretations thereof), any applicable intergovernmental agreement entered into in respect thereof, and any provision of law or administrative guidance implementing or interpreting such provisions, including any agreements entered into pursuant to any such intergovernmental agreement or Section 1471(b)(1) of the Code as of the date hereof (or any amended or successor version described above).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Rate</w:t>
      </w:r>
      <w:r>
        <w:rPr>
          <w:rFonts w:ascii="Times New Roman" w:cs="Times New Roman" w:eastAsia="Times New Roman" w:hAnsi="Times New Roman"/>
          <w:sz w:val="20"/>
          <w:szCs w:val="20"/>
          <w:color w:val="auto"/>
        </w:rPr>
        <w:t xml:space="preserve">” means, for any day, the rate per annum equal to the weighted average of the rates on overnight federal funds transactions with members of the Federal Reserve System, as published by the Federal Reserve Bank on the Business Day next succeeding such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if such day is not a Business Day, the Federal Funds Rate for such day shall be such rate on such transactions on the next preceding Business Day as so published on the next succeeding Business Day and (2) if no such rate is so published on such next succeeding Business Day, the Federal Funds Rate for</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143" w:name="page144"/>
    <w:bookmarkEnd w:id="143"/>
    <w:p>
      <w:pPr>
        <w:ind w:right="20"/>
        <w:spacing w:after="0" w:line="254" w:lineRule="auto"/>
        <w:rPr>
          <w:sz w:val="20"/>
          <w:szCs w:val="20"/>
          <w:color w:val="auto"/>
        </w:rPr>
      </w:pPr>
      <w:r>
        <w:rPr>
          <w:rFonts w:ascii="Times New Roman" w:cs="Times New Roman" w:eastAsia="Times New Roman" w:hAnsi="Times New Roman"/>
          <w:sz w:val="20"/>
          <w:szCs w:val="20"/>
          <w:color w:val="auto"/>
        </w:rPr>
        <w:t>such day shall be the average rate (rounded upward, if necessary, to a whole multiple of 1/100 of 1%) of the quotations for the day for such transactions received by the Administrative Agent from three depository institutions of recognized standing selected by it. For the avoidance of doubt, if the Federal Funds Rate shall be less than zero, such rate shall be deemed to be zero for purposes of this Agreement.</w:t>
      </w:r>
    </w:p>
    <w:p>
      <w:pPr>
        <w:spacing w:after="0" w:line="170" w:lineRule="exact"/>
        <w:rPr>
          <w:sz w:val="20"/>
          <w:szCs w:val="20"/>
          <w:color w:val="auto"/>
        </w:rPr>
      </w:pPr>
    </w:p>
    <w:p>
      <w:pPr>
        <w:ind w:right="5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Reserve Bank of New York’s Website</w:t>
      </w:r>
      <w:r>
        <w:rPr>
          <w:rFonts w:ascii="Times New Roman" w:cs="Times New Roman" w:eastAsia="Times New Roman" w:hAnsi="Times New Roman"/>
          <w:sz w:val="20"/>
          <w:szCs w:val="20"/>
          <w:color w:val="auto"/>
        </w:rPr>
        <w:t>” means the website of the Federal Reserve Bank of New York at http://www.newyorkfed.org, or any successor source.</w:t>
      </w:r>
    </w:p>
    <w:p>
      <w:pPr>
        <w:spacing w:after="0" w:line="152" w:lineRule="exact"/>
        <w:rPr>
          <w:sz w:val="20"/>
          <w:szCs w:val="20"/>
          <w:color w:val="auto"/>
        </w:rPr>
      </w:pPr>
    </w:p>
    <w:p>
      <w:pPr>
        <w:ind w:right="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Reserve Board</w:t>
      </w:r>
      <w:r>
        <w:rPr>
          <w:rFonts w:ascii="Times New Roman" w:cs="Times New Roman" w:eastAsia="Times New Roman" w:hAnsi="Times New Roman"/>
          <w:sz w:val="20"/>
          <w:szCs w:val="20"/>
          <w:color w:val="auto"/>
        </w:rPr>
        <w:t>” means the Board of Governors of the Federal Reserve System, or any entity succeeding to any of its principal functions.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means that certain fee letter, dated as of the Closing Date, between the Borrower and Capital One.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Covenants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Covenant 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Incurrence Test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Officer</w:t>
      </w:r>
      <w:r>
        <w:rPr>
          <w:rFonts w:ascii="Times New Roman" w:cs="Times New Roman" w:eastAsia="Times New Roman" w:hAnsi="Times New Roman"/>
          <w:sz w:val="20"/>
          <w:szCs w:val="20"/>
          <w:color w:val="auto"/>
        </w:rPr>
        <w:t>” means, with respect to a Person, the chief financial officer, accounting officer, treasurer, controller or other senior financial or accounting officer of such Person, as appropriate.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FIRREA</w:t>
      </w:r>
      <w:r>
        <w:rPr>
          <w:rFonts w:ascii="Times New Roman" w:cs="Times New Roman" w:eastAsia="Times New Roman" w:hAnsi="Times New Roman"/>
          <w:sz w:val="20"/>
          <w:szCs w:val="20"/>
          <w:color w:val="auto"/>
        </w:rPr>
        <w:t>” means the Financial Institutions Reform, Recovery and Enforcement Act of 1989.</w:t>
      </w:r>
    </w:p>
    <w:p>
      <w:pPr>
        <w:spacing w:after="0" w:line="216" w:lineRule="exact"/>
        <w:rPr>
          <w:sz w:val="20"/>
          <w:szCs w:val="20"/>
          <w:color w:val="auto"/>
        </w:rPr>
      </w:pPr>
    </w:p>
    <w:p>
      <w:pPr>
        <w:ind w:right="2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Lien Net Leverage Ratio</w:t>
      </w:r>
      <w:r>
        <w:rPr>
          <w:rFonts w:ascii="Times New Roman" w:cs="Times New Roman" w:eastAsia="Times New Roman" w:hAnsi="Times New Roman"/>
          <w:sz w:val="20"/>
          <w:szCs w:val="20"/>
          <w:color w:val="auto"/>
        </w:rPr>
        <w:t xml:space="preserve">” means, with respect to any Test Period, the ratio of (1) Consolidated First Lien Secured Debt outstanding as of the last day of such Test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Unrestricted Cash Amount on such last day to (2) Consolidated EBITDA of the Borrower for such Test Period, in each case on a pro forma basis with such pro forma adjustments as are appropriate and consistent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right="24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Lien Obligations</w:t>
      </w:r>
      <w:r>
        <w:rPr>
          <w:rFonts w:ascii="Times New Roman" w:cs="Times New Roman" w:eastAsia="Times New Roman" w:hAnsi="Times New Roman"/>
          <w:sz w:val="20"/>
          <w:szCs w:val="20"/>
          <w:color w:val="auto"/>
        </w:rPr>
        <w:t>” means the Obligations, the Permitted Incremental Equivalent Debt and the Credit Agreement Refinancing Indebtedness, in each case, that are, or are purported to be, secured by the Collateral on an equal priority basis (but without regard to the control of remedies) with Liens on the Collateral securing the Closing Date Term Loans. For the avoidance of doubt, “First Lien Obligations” shall include the Closing Date Term Loans.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Fixed Basket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(a) with respect to the Closing Date Term Loans, 0.00% per annum and (b) with respect to Revolving Loans or any other Facility (other than as set forth in clause (a) above), 0.00% per annum.</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with respect to any reference rate of interest, any fixed minimum amount specified for such rate.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Asset Sale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2.05(2)(g)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Casualty Event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2.05(2)(g)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4" w:name="page145"/>
    <w:bookmarkEnd w:id="144"/>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means a Lender that is not a United States person within the meaning of Section 7701(a)(30)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Code.</w:t>
      </w:r>
    </w:p>
    <w:p>
      <w:pPr>
        <w:spacing w:after="0" w:line="190" w:lineRule="exact"/>
        <w:rPr>
          <w:sz w:val="20"/>
          <w:szCs w:val="20"/>
          <w:color w:val="auto"/>
        </w:rPr>
      </w:pPr>
    </w:p>
    <w:p>
      <w:pPr>
        <w:ind w:right="1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Plan</w:t>
      </w:r>
      <w:r>
        <w:rPr>
          <w:rFonts w:ascii="Times New Roman" w:cs="Times New Roman" w:eastAsia="Times New Roman" w:hAnsi="Times New Roman"/>
          <w:sz w:val="20"/>
          <w:szCs w:val="20"/>
          <w:color w:val="auto"/>
        </w:rPr>
        <w:t>” means any employee benefit plan, program or agreement maintained or contributed to by, or entered into with, the Borrower or any Subsidiary of the Borrower with respect to employees employed outside the United States (other than benefit plans, programs or agreements that are mandated by applicable Laws).</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Subsidiary</w:t>
      </w:r>
      <w:r>
        <w:rPr>
          <w:rFonts w:ascii="Times New Roman" w:cs="Times New Roman" w:eastAsia="Times New Roman" w:hAnsi="Times New Roman"/>
          <w:sz w:val="20"/>
          <w:szCs w:val="20"/>
          <w:color w:val="auto"/>
        </w:rPr>
        <w:t>” means any direct or indirect Restricted Subsidiary that is not a Domestic Subsidiary.</w:t>
      </w:r>
    </w:p>
    <w:p>
      <w:pPr>
        <w:spacing w:after="0" w:line="216" w:lineRule="exact"/>
        <w:rPr>
          <w:sz w:val="20"/>
          <w:szCs w:val="20"/>
          <w:color w:val="auto"/>
        </w:rPr>
      </w:pPr>
    </w:p>
    <w:p>
      <w:pPr>
        <w:jc w:val="both"/>
        <w:ind w:right="12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Foreign Subsidiary Holdco</w:t>
      </w:r>
      <w:r>
        <w:rPr>
          <w:rFonts w:ascii="Times New Roman" w:cs="Times New Roman" w:eastAsia="Times New Roman" w:hAnsi="Times New Roman"/>
          <w:sz w:val="19"/>
          <w:szCs w:val="19"/>
          <w:color w:val="auto"/>
        </w:rPr>
        <w:t>” means a Subsidiary substantially all of whose assets consists (directly or indirectly) of the Capital Stock and/or indebtedness (and related or similar assets) of one or more (1) Foreign Subsidiaries or (2) Foreign Subsidiary Holdcos.</w:t>
      </w:r>
    </w:p>
    <w:p>
      <w:pPr>
        <w:spacing w:after="0" w:line="1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Free and Clear Incremental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2.14(4)(c)(i)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Fronting Exposure</w:t>
      </w:r>
      <w:r>
        <w:rPr>
          <w:rFonts w:ascii="Times New Roman" w:cs="Times New Roman" w:eastAsia="Times New Roman" w:hAnsi="Times New Roman"/>
          <w:sz w:val="20"/>
          <w:szCs w:val="20"/>
          <w:color w:val="auto"/>
        </w:rPr>
        <w:t>” means, at any time there is a Defaulting Lender, (1) with respect to an Issuing Bank, such Defaulting Lender’s Applicable Percentage of the outstanding L/C Obligations, other than L/C Obligations as to which such Defaulting Lender’s participation obligation has been reallocated to other Lenders or Cash Collateralized in accordance with the terms hereof and (2) with respect to any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79" w:lineRule="exact"/>
        <w:rPr>
          <w:sz w:val="20"/>
          <w:szCs w:val="20"/>
          <w:color w:val="auto"/>
        </w:rPr>
      </w:pPr>
    </w:p>
    <w:p>
      <w:pPr>
        <w:ind w:right="5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w:t>
      </w:r>
      <w:r>
        <w:rPr>
          <w:rFonts w:ascii="Times New Roman" w:cs="Times New Roman" w:eastAsia="Times New Roman" w:hAnsi="Times New Roman"/>
          <w:sz w:val="20"/>
          <w:szCs w:val="20"/>
          <w:color w:val="auto"/>
        </w:rPr>
        <w:t>” means any Person (other than a natural person) that is primarily engaged in making, purchasing, holding or otherwise investing in commercial loans and similar extensions of credit in the ordinary course of its activities.</w:t>
      </w:r>
    </w:p>
    <w:p>
      <w:pPr>
        <w:spacing w:after="0" w:line="152" w:lineRule="exact"/>
        <w:rPr>
          <w:sz w:val="20"/>
          <w:szCs w:val="20"/>
          <w:color w:val="auto"/>
        </w:rPr>
      </w:pPr>
    </w:p>
    <w:p>
      <w:pPr>
        <w:ind w:right="6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Funded Debt</w:t>
      </w:r>
      <w:r>
        <w:rPr>
          <w:rFonts w:ascii="Times New Roman" w:cs="Times New Roman" w:eastAsia="Times New Roman" w:hAnsi="Times New Roman"/>
          <w:sz w:val="20"/>
          <w:szCs w:val="20"/>
          <w:color w:val="auto"/>
        </w:rPr>
        <w:t>” means all Indebtedness of the Borrower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6" w:lineRule="exact"/>
        <w:rPr>
          <w:sz w:val="20"/>
          <w:szCs w:val="20"/>
          <w:color w:val="auto"/>
        </w:rPr>
      </w:pPr>
    </w:p>
    <w:p>
      <w:pPr>
        <w:ind w:right="120"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The Borrower will give notice of any such election made in accordance with this definition to the Administrative Agent. Notwithstanding any other provision contained herein, (1) the amount of any Indebtedness under GAAP with respect to Capitalized Lease Obligations and Attributable Indebtedness shall be determined in accordance with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and (2)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the Borrower or any of its Restricted Subsidiaries at “fair value”, as defined therein. Notwithstanding the foregoing, if at any time any change occurs after the Closing Date in GAAP or in the application thereof that, in each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5" w:name="page146"/>
    <w:bookmarkEnd w:id="145"/>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case, would affect the computation of any financial ratio or financial requirement, or compliance with any covenant, set forth in any Loan Document (including, but not limited to, the impact of Accounting Standards Update 2016-2, Revenue from Contracts with Customers (Topic 606) or similar revenue recognition policies promulgated after the Closing Date), and the Borrower shall so request (regardless of whether any such request is given before or after such change), the Administrative Agent, the Lenders and the Borrower will negotiate in good faith to amend (subject to the approval of the Required Lenders) such ratio, requirement or covenant to preserve the original intent thereof in light of such change in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until so amended, (a) such ratio, requirement or covenant shall continue to be computed in accordance with GAAP without giving effect to such change therein and (b) if reasonably requested by the Administrative Agent with respect to periods ending prior to the date that is one year after the effectiveness of such change, the Borrower shall provide to the Administrative Agent (for distribution to the Lenders), together with any financial statements to be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 summary reconciliation between calculations of any such ratios or requirements required to be included in the corresponding Compliance Certificate to be delivered pursuant to </w:t>
      </w:r>
      <w:r>
        <w:rPr>
          <w:rFonts w:ascii="Times New Roman" w:cs="Times New Roman" w:eastAsia="Times New Roman" w:hAnsi="Times New Roman"/>
          <w:sz w:val="20"/>
          <w:szCs w:val="20"/>
          <w:u w:val="single" w:color="auto"/>
          <w:color w:val="auto"/>
        </w:rPr>
        <w:t>Section 6.02(4)</w:t>
      </w:r>
      <w:r>
        <w:rPr>
          <w:rFonts w:ascii="Times New Roman" w:cs="Times New Roman" w:eastAsia="Times New Roman" w:hAnsi="Times New Roman"/>
          <w:sz w:val="20"/>
          <w:szCs w:val="20"/>
          <w:color w:val="auto"/>
        </w:rPr>
        <w:t xml:space="preserve"> made before and after giving effect to such change in GAAP. For the avoidance of doubt, subject to the requirements of the foregoing clause (b), the operation of this paragraph shall otherwise have no effect with respect to any financial statements required to be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unless the Borrower otherwise elects.</w:t>
      </w:r>
    </w:p>
    <w:p>
      <w:pPr>
        <w:spacing w:after="0" w:line="193" w:lineRule="exact"/>
        <w:rPr>
          <w:sz w:val="20"/>
          <w:szCs w:val="20"/>
          <w:color w:val="auto"/>
        </w:rPr>
      </w:pPr>
    </w:p>
    <w:p>
      <w:pPr>
        <w:ind w:right="4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Debt Basket Reallocated Amount</w:t>
      </w:r>
      <w:r>
        <w:rPr>
          <w:rFonts w:ascii="Times New Roman" w:cs="Times New Roman" w:eastAsia="Times New Roman" w:hAnsi="Times New Roman"/>
          <w:sz w:val="20"/>
          <w:szCs w:val="20"/>
          <w:color w:val="auto"/>
        </w:rPr>
        <w:t xml:space="preserve">” means any amount that, at the option of the Borrower, has been reallocated from </w:t>
      </w:r>
      <w:r>
        <w:rPr>
          <w:rFonts w:ascii="Times New Roman" w:cs="Times New Roman" w:eastAsia="Times New Roman" w:hAnsi="Times New Roman"/>
          <w:sz w:val="20"/>
          <w:szCs w:val="20"/>
          <w:u w:val="single" w:color="auto"/>
          <w:color w:val="auto"/>
        </w:rPr>
        <w:t>Section 7.02(2)(l)(ii)</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“Available Incremental Amount” set forth in </w:t>
      </w:r>
      <w:r>
        <w:rPr>
          <w:rFonts w:ascii="Times New Roman" w:cs="Times New Roman" w:eastAsia="Times New Roman" w:hAnsi="Times New Roman"/>
          <w:sz w:val="20"/>
          <w:szCs w:val="20"/>
          <w:u w:val="single" w:color="auto"/>
          <w:color w:val="auto"/>
        </w:rPr>
        <w:t>Section 2.14(4)(c)</w:t>
      </w:r>
      <w:r>
        <w:rPr>
          <w:rFonts w:ascii="Times New Roman" w:cs="Times New Roman" w:eastAsia="Times New Roman" w:hAnsi="Times New Roman"/>
          <w:sz w:val="20"/>
          <w:szCs w:val="20"/>
          <w:color w:val="auto"/>
        </w:rPr>
        <w:t xml:space="preserve">, which shall be deemed to be a utilization of the Basket set forth in </w:t>
      </w:r>
      <w:r>
        <w:rPr>
          <w:rFonts w:ascii="Times New Roman" w:cs="Times New Roman" w:eastAsia="Times New Roman" w:hAnsi="Times New Roman"/>
          <w:sz w:val="20"/>
          <w:szCs w:val="20"/>
          <w:u w:val="single" w:color="auto"/>
          <w:color w:val="auto"/>
        </w:rPr>
        <w:t>Section 7.02(2)(l)(ii)</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nation, sovereign or government, any state or other political subdivision thereof, any agency, authority or instrumentality thereof and any entity or authority thereof exercising executive, legislative, taxing, judicial, regulatory or administrative functions of or pertaining to government, including any central bank, stock exchange, regulatory body, arbitrator, public sector entity, supra-national entity (including the European Union and the European Central Bank) and any self-regulatory organization (including the National Association of Insurance Commissioners).</w:t>
      </w:r>
    </w:p>
    <w:p>
      <w:pPr>
        <w:spacing w:after="0" w:line="180" w:lineRule="exact"/>
        <w:rPr>
          <w:sz w:val="20"/>
          <w:szCs w:val="20"/>
          <w:color w:val="auto"/>
        </w:rPr>
      </w:pPr>
    </w:p>
    <w:p>
      <w:pPr>
        <w:ind w:right="6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Programs</w:t>
      </w:r>
      <w:r>
        <w:rPr>
          <w:rFonts w:ascii="Times New Roman" w:cs="Times New Roman" w:eastAsia="Times New Roman" w:hAnsi="Times New Roman"/>
          <w:sz w:val="20"/>
          <w:szCs w:val="20"/>
          <w:color w:val="auto"/>
        </w:rPr>
        <w:t>” means (i) the Medicare and Medicaid Programs, and (ii) any other Federal health care program, as defined in 42 U.S.C. § 1320a-7b(f).</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means a guarantee (other than by endorsement of negotiable instruments for collection in the ordinary course of business or consistent with industry practice), direct or indirect, in any manner (including letters of credit and reimbursement agreements in respect thereof), of all or any part of any Indebtedness or other obligations.</w:t>
      </w:r>
    </w:p>
    <w:p>
      <w:pPr>
        <w:spacing w:after="0" w:line="169" w:lineRule="exact"/>
        <w:rPr>
          <w:sz w:val="20"/>
          <w:szCs w:val="20"/>
          <w:color w:val="auto"/>
        </w:rPr>
      </w:pPr>
    </w:p>
    <w:p>
      <w:pPr>
        <w:ind w:right="120"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means, as to any Person, without duplication, (1) any obligation, contingent or otherwise, of such Person guaranteeing any Indebtedness or other monetary obligation payable or performable by another Person (the “</w:t>
      </w:r>
      <w:r>
        <w:rPr>
          <w:rFonts w:ascii="Times New Roman" w:cs="Times New Roman" w:eastAsia="Times New Roman" w:hAnsi="Times New Roman"/>
          <w:sz w:val="20"/>
          <w:szCs w:val="20"/>
          <w:b w:val="1"/>
          <w:bCs w:val="1"/>
          <w:color w:val="auto"/>
        </w:rPr>
        <w:t>primary obligor</w:t>
      </w:r>
      <w:r>
        <w:rPr>
          <w:rFonts w:ascii="Times New Roman" w:cs="Times New Roman" w:eastAsia="Times New Roman" w:hAnsi="Times New Roman"/>
          <w:sz w:val="20"/>
          <w:szCs w:val="20"/>
          <w:color w:val="auto"/>
        </w:rPr>
        <w:t>”) in any manner, whether directly or indirectly, and including any obligation of such Person, direct or indirect, (a) to purchase or pay (or advance or supply funds for the purchase or payment of) such Indebtedness or other monetary obligation, (b) to purchase or lease property, securities or services for the purpose of assuring the obligee in respect of such Indebtedness or other monetary obligation of the payment or performance of such Indebtedness or other monetary obligation, (c) to maintain working capital, equity capital or any other financial statement condition or liquidity or level of income or cash flow of the primary obligor so as to enable the primary obligor to pay such Indebtedness or other monetary obligation or (d) entered into for the purpose of</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assuring in any other manner the obligee in respect of such Indebtedness or other monetary obligation of the payment or performance thereof or to protect such obligee against loss in respect thereof (in whole or in part) or (2)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either case in the ordinary course of business or consistent with industry practice, or customary and reasonable indemnity obligations in effect on the Closing Date or entered into in connection with the Transactions or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 Release Election</w:t>
      </w:r>
      <w:r>
        <w:rPr>
          <w:rFonts w:ascii="Times New Roman" w:cs="Times New Roman" w:eastAsia="Times New Roman" w:hAnsi="Times New Roman"/>
          <w:sz w:val="20"/>
          <w:szCs w:val="20"/>
          <w:color w:val="auto"/>
        </w:rPr>
        <w:t>” has the meaning specified in the definition of “Collateral and Guarantee Requirement.”</w:t>
      </w:r>
    </w:p>
    <w:p>
      <w:pPr>
        <w:spacing w:after="0" w:line="216" w:lineRule="exact"/>
        <w:rPr>
          <w:sz w:val="20"/>
          <w:szCs w:val="20"/>
          <w:color w:val="auto"/>
        </w:rPr>
      </w:pPr>
    </w:p>
    <w:p>
      <w:pPr>
        <w:ind w:right="80"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of the definition of “Collateral and Guarantee Requirement.” For avoidance of doubt, the Borrower may, in its sole discretion, cause any Parent Company or Restricted Subsidiary that is not required to be a Guarantor to Guarantee the Obligations by causing such Parent Company or Restricted Subsidiary to execute a joinder to the Guaranty (substantially in the form provided therein or as the Administrative Agent, the Borrower and such Guarantor may otherwise agree), and any such Parent Company or Restricted Subsidiary shall be a Guarantor hereunder for all purposes;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shall have received at least two (2) Business Days prior to the effectiveness of such joinder (or such later date as reasonably agreed by the Administrative Agent) all documentation and other information in respect of such Guarantor required under applicable “know your customer” and anti-money laundering rules and regulations, including the USA PATRIOT Act. For the avoidance of doubt, no Affiliated Practice shall be a Guarantor.</w:t>
      </w:r>
    </w:p>
    <w:p>
      <w:pPr>
        <w:spacing w:after="0" w:line="186" w:lineRule="exact"/>
        <w:rPr>
          <w:sz w:val="20"/>
          <w:szCs w:val="20"/>
          <w:color w:val="auto"/>
        </w:rPr>
      </w:pPr>
    </w:p>
    <w:p>
      <w:pPr>
        <w:ind w:right="360" w:firstLine="1497"/>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Guaranty</w:t>
      </w:r>
      <w:r>
        <w:rPr>
          <w:rFonts w:ascii="Times New Roman" w:cs="Times New Roman" w:eastAsia="Times New Roman" w:hAnsi="Times New Roman"/>
          <w:sz w:val="19"/>
          <w:szCs w:val="19"/>
          <w:color w:val="auto"/>
        </w:rPr>
        <w:t xml:space="preserve">” means (1) the Guaranty substantially in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made by Holdings and each Subsidiary Guarantor, (2) each other guaranty and guaranty supplement delivered pursuant to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xml:space="preserve"> and (3) each other guaranty and guaranty supplement delivered by any Parent Company or Restricted Subsidiary pursuant to the second sentence of the definition of “Guarantor.”</w:t>
      </w:r>
    </w:p>
    <w:p>
      <w:pPr>
        <w:spacing w:after="0" w:line="151" w:lineRule="exact"/>
        <w:rPr>
          <w:sz w:val="20"/>
          <w:szCs w:val="20"/>
          <w:color w:val="auto"/>
        </w:rPr>
      </w:pPr>
    </w:p>
    <w:p>
      <w:pPr>
        <w:ind w:right="2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substances, wastes, pollutants, contaminants and chemicals, including petroleum or petroleum distillates, asbestos or asbestos-containing materials, polychlorinated biphenyls, radon gas and infectious or medical wastes, to the extent any of the foregoing are regulated pursuant to, or can form the basis for liability under, any Environmental Law due to their dangerous or deleterious properties or characteristics.</w:t>
      </w:r>
    </w:p>
    <w:p>
      <w:pPr>
        <w:spacing w:after="0" w:line="176"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9"/>
          <w:szCs w:val="19"/>
          <w:color w:val="auto"/>
        </w:rPr>
        <w:t>” means, collectively, any and all Laws, relating to any of the following: (a) fraud and abuse (including the following statutes, as amended, modified or supplemented from time to time and any successor statutes thereto and regulations promulgated from time to time thereunder: the federal Anti-Kickback Statute (42 U.S.C. § 1320a-7b(b)), the Stark Law (42 U.S.C. § 1395nn and § 1395(q)), the civil False Claims Act (31 U.S.C. § 3729 et seq.), the federal health care program exclusion provisions (42 U.S.C. § 1320a-7), the Eliminating Kickbacks in Recovery Act (18 U.S.C. §220) and the Civil Monetary Penalties Act (42 U.S.C. § 1320a-7a)); (b) the billing, coding, documentation or submission of claims or collection of accounts receivable or reporting and refunding of overpayments;</w:t>
      </w:r>
    </w:p>
    <w:p>
      <w:pPr>
        <w:spacing w:after="0" w:line="5" w:lineRule="exact"/>
        <w:rPr>
          <w:sz w:val="20"/>
          <w:szCs w:val="20"/>
          <w:color w:val="auto"/>
        </w:rPr>
      </w:pPr>
    </w:p>
    <w:p>
      <w:pPr>
        <w:ind w:left="280" w:hanging="272"/>
        <w:spacing w:after="0"/>
        <w:tabs>
          <w:tab w:leader="none" w:pos="2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Medicare and Medicaid program requirements for participation and payment; (d)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7" w:name="page148"/>
    <w:bookmarkEnd w:id="147"/>
    <w:p>
      <w:pPr>
        <w:ind w:right="80"/>
        <w:spacing w:after="0" w:line="254" w:lineRule="auto"/>
        <w:rPr>
          <w:sz w:val="20"/>
          <w:szCs w:val="20"/>
          <w:color w:val="auto"/>
        </w:rPr>
      </w:pPr>
      <w:r>
        <w:rPr>
          <w:rFonts w:ascii="Times New Roman" w:cs="Times New Roman" w:eastAsia="Times New Roman" w:hAnsi="Times New Roman"/>
          <w:sz w:val="20"/>
          <w:szCs w:val="20"/>
          <w:color w:val="auto"/>
        </w:rPr>
        <w:t>restrictions on the corporate practice of medicine and other applicable health care professions; (e) the privacy and security of health care information (including HIPAA); (f) healthcare facility and professional fee-splitting prohibitions; (g) federal and state laws related to facility licensure; and (h) state laws related to certificate of need requirements.</w:t>
      </w:r>
    </w:p>
    <w:p>
      <w:pPr>
        <w:spacing w:after="0" w:line="170"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Agreement</w:t>
      </w:r>
      <w:r>
        <w:rPr>
          <w:rFonts w:ascii="Times New Roman" w:cs="Times New Roman" w:eastAsia="Times New Roman" w:hAnsi="Times New Roman"/>
          <w:sz w:val="20"/>
          <w:szCs w:val="20"/>
          <w:color w:val="auto"/>
        </w:rPr>
        <w:t>” means (1)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b w:val="1"/>
          <w:bCs w:val="1"/>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2"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Bank</w:t>
      </w:r>
      <w:r>
        <w:rPr>
          <w:rFonts w:ascii="Times New Roman" w:cs="Times New Roman" w:eastAsia="Times New Roman" w:hAnsi="Times New Roman"/>
          <w:sz w:val="20"/>
          <w:szCs w:val="20"/>
          <w:color w:val="auto"/>
        </w:rPr>
        <w:t>” means (1) any Person set forth on Schedule 1.01(4), (2) any Person party to a Secured Hedge Agreement that is an Agent, a Lender, an Arranger or an Affiliate of any of the foregoing on the Closing Date or at the time it enters into such Secured Hedge Agreement, in its capacity as a party thereto, whether or not such Person subsequently ceases to be an Agent, a Lender, an Arranger or an Affiliate of any of the foregoing or (3) any Person from time to time approved by the Administrative Agent (such approval not to be unreasonably withheld, delayed or conditioned) and specifically designated in writing as a “Hedge Bank” by the Borrower to the Administrative Agent.</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Hedging Obligations</w:t>
      </w:r>
      <w:r>
        <w:rPr>
          <w:rFonts w:ascii="Times New Roman" w:cs="Times New Roman" w:eastAsia="Times New Roman" w:hAnsi="Times New Roman"/>
          <w:sz w:val="20"/>
          <w:szCs w:val="20"/>
          <w:color w:val="auto"/>
        </w:rPr>
        <w:t>” means, with respect to any Person, the obligations of such Person under any Hedge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avoidance of doubt, any Permitted Convertible Indebtedness Call Transaction will not constitute Hedging Obligations.</w:t>
      </w:r>
    </w:p>
    <w:p>
      <w:pPr>
        <w:spacing w:after="0" w:line="190" w:lineRule="exact"/>
        <w:rPr>
          <w:sz w:val="20"/>
          <w:szCs w:val="20"/>
          <w:color w:val="auto"/>
        </w:rPr>
      </w:pPr>
    </w:p>
    <w:p>
      <w:pPr>
        <w:ind w:right="14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HIPAA</w:t>
      </w:r>
      <w:r>
        <w:rPr>
          <w:rFonts w:ascii="Times New Roman" w:cs="Times New Roman" w:eastAsia="Times New Roman" w:hAnsi="Times New Roman"/>
          <w:sz w:val="20"/>
          <w:szCs w:val="20"/>
          <w:color w:val="auto"/>
        </w:rPr>
        <w:t>” means the (a) Health Insurance Portability and Accountability Act of 1996, (b) the Health Information Technology for Economic and Clinical Health Act (Title XIII of the American Recovery and Reinvestment Act of 2009) and (c) any state and local Laws regulating the privacy and/or security of individually identifiable health information, including state laws providing for notification of breach of privacy or security of individually identifiable health information, in each case, as amended, modified or supplemented from time to time, and together with all successor statutes thereto and all rules and regulations promulgated from time to time thereunder.</w:t>
      </w:r>
    </w:p>
    <w:p>
      <w:pPr>
        <w:spacing w:after="0" w:line="179"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Historical Financial Statements</w:t>
      </w:r>
      <w:r>
        <w:rPr>
          <w:rFonts w:ascii="Times New Roman" w:cs="Times New Roman" w:eastAsia="Times New Roman" w:hAnsi="Times New Roman"/>
          <w:sz w:val="20"/>
          <w:szCs w:val="20"/>
          <w:color w:val="auto"/>
        </w:rPr>
        <w:t>” means the audited consolidated balance sheet and related consolidated statement of income, changes in redeemable units and stockholders’/members’ equity and cash flows of LifeStance Health Group, Inc. and its Subsidiaries for the fiscal year ended December 31, 2023.</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has the meaning specified in the introductory paragraph to this Agreement.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Honor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Identified Participating Lenders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2.05(1)(e)(C)(3)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Identified Qualifying Lenders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Immaterial Subsidiary</w:t>
      </w:r>
      <w:r>
        <w:rPr>
          <w:rFonts w:ascii="Times New Roman" w:cs="Times New Roman" w:eastAsia="Times New Roman" w:hAnsi="Times New Roman"/>
          <w:sz w:val="20"/>
          <w:szCs w:val="20"/>
          <w:color w:val="auto"/>
        </w:rPr>
        <w:t>” means any Restricted Subsidiary that is not a Material Subsidiary.</w:t>
      </w:r>
    </w:p>
    <w:p>
      <w:pPr>
        <w:spacing w:after="0" w:line="216"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 Members</w:t>
      </w:r>
      <w:r>
        <w:rPr>
          <w:rFonts w:ascii="Times New Roman" w:cs="Times New Roman" w:eastAsia="Times New Roman" w:hAnsi="Times New Roman"/>
          <w:sz w:val="20"/>
          <w:szCs w:val="20"/>
          <w:color w:val="auto"/>
        </w:rPr>
        <w:t>” means with respect to any individual, such individual’s child, stepchild, grandchild or more remote descendant, parent, stepparent, grandparent, spouse, former spouse, qualified domestic partner, sibling, mother-in-law, father-in-law, son-in-law and daughter-in-law (including, in each case,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right="500"/>
        <w:spacing w:after="0" w:line="4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Amounts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“Refinancing Indebtedness.” “</w:t>
      </w:r>
      <w:r>
        <w:rPr>
          <w:rFonts w:ascii="Times New Roman" w:cs="Times New Roman" w:eastAsia="Times New Roman" w:hAnsi="Times New Roman"/>
          <w:sz w:val="20"/>
          <w:szCs w:val="20"/>
          <w:b w:val="1"/>
          <w:bCs w:val="1"/>
          <w:color w:val="auto"/>
        </w:rPr>
        <w:t>Incremental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2.14(1)</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Facility Closing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Lenders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Loan Request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Ratio Basket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2.14(4)(c)(iii)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incur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incurrence</w:t>
      </w:r>
      <w:r>
        <w:rPr>
          <w:rFonts w:ascii="Times New Roman" w:cs="Times New Roman" w:eastAsia="Times New Roman" w:hAnsi="Times New Roman"/>
          <w:sz w:val="20"/>
          <w:szCs w:val="20"/>
          <w:color w:val="auto"/>
        </w:rPr>
        <w:t xml:space="preserve">” have the meanings specified in </w:t>
      </w:r>
      <w:r>
        <w:rPr>
          <w:rFonts w:ascii="Times New Roman" w:cs="Times New Roman" w:eastAsia="Times New Roman" w:hAnsi="Times New Roman"/>
          <w:sz w:val="20"/>
          <w:szCs w:val="20"/>
          <w:u w:val="single" w:color="auto"/>
          <w:color w:val="auto"/>
        </w:rPr>
        <w:t>Section 7.02(1)(a)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 respect to any Person, without duplication:</w:t>
      </w:r>
    </w:p>
    <w:p>
      <w:pPr>
        <w:spacing w:after="0" w:line="220" w:lineRule="exact"/>
        <w:rPr>
          <w:sz w:val="20"/>
          <w:szCs w:val="20"/>
          <w:color w:val="auto"/>
        </w:rPr>
      </w:pPr>
    </w:p>
    <w:p>
      <w:pPr>
        <w:ind w:left="1900" w:hanging="395"/>
        <w:spacing w:after="0"/>
        <w:tabs>
          <w:tab w:leader="none" w:pos="19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(including principal and premium) of such Person, whether or not contingent:</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borrowed money;</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9" w:right="559" w:bottom="1440" w:gutter="0" w:footer="0" w:header="0"/>
        </w:sectPr>
      </w:pPr>
    </w:p>
    <w:bookmarkStart w:id="149" w:name="page150"/>
    <w:bookmarkEnd w:id="149"/>
    <w:p>
      <w:pPr>
        <w:ind w:left="740" w:firstLine="754"/>
        <w:spacing w:after="0" w:line="269" w:lineRule="auto"/>
        <w:tabs>
          <w:tab w:leader="none" w:pos="18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evidenced by bonds, notes, debentures or similar instruments or letters of credit or bankers’ acceptances (or, without duplication, reimbursement agreements in respect thereof);</w:t>
      </w:r>
    </w:p>
    <w:p>
      <w:pPr>
        <w:spacing w:after="0" w:line="159" w:lineRule="exact"/>
        <w:rPr>
          <w:rFonts w:ascii="Times New Roman" w:cs="Times New Roman" w:eastAsia="Times New Roman" w:hAnsi="Times New Roman"/>
          <w:sz w:val="20"/>
          <w:szCs w:val="20"/>
          <w:color w:val="auto"/>
        </w:rPr>
      </w:pPr>
    </w:p>
    <w:p>
      <w:pPr>
        <w:ind w:left="740" w:right="60" w:firstLine="754"/>
        <w:spacing w:after="0" w:line="242" w:lineRule="auto"/>
        <w:tabs>
          <w:tab w:leader="none" w:pos="18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representing the deferred and unpaid balance of the purchase price of any property (including Capitalized Lease Obligations) or any service (except (i) any such balance that constitutes an obligation in respect of a commercial letter of credit, a trade payable or similar obligation to a trade creditor, in each case accrued in the ordinary course of business or consistent with industry practice, (ii) any earnout obligations until such obligation is reflected as a liability on the balance sheet (excluding any footnotes thereto) of such Person in accordance with GAAP and is not paid within 60 days after becoming due and payable or, if applicable, following expiration of any dispute resolution mechanics set forth in the applicable agreement governing the applicable transaction, (iii) any such obligations incurred under any employee consulting agreements, (iv) accruals for payroll and other liabilities and expenses accrued in the ordinary course of business (including on an intercompany basis) or consistent with industry practice and (v) liabilities associated with customer prepayments and deposits) which purchase price is due more than twelve months after such property is acquired or service is obtained; or</w:t>
      </w:r>
    </w:p>
    <w:p>
      <w:pPr>
        <w:spacing w:after="0" w:line="189"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representing the net obligations under any Hedging Obligations;</w:t>
      </w:r>
    </w:p>
    <w:p>
      <w:pPr>
        <w:spacing w:after="0" w:line="216"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 xml:space="preserve">if and to the extent that any of the foregoing Indebtedness (other than obligations in respect of letters of credit and Hedging Obligations) would appear as a liability upon a balance sheet (excluding the footnotes thereto) of such Person prepared in accordance with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Indebtedness of any Parent Company appearing upon the balance sheet of Holdings or the Borrower, as applicable, solely by reason of push-down accounting under GAAP will be excluded;</w:t>
      </w:r>
    </w:p>
    <w:p>
      <w:pPr>
        <w:spacing w:after="0" w:line="180" w:lineRule="exact"/>
        <w:rPr>
          <w:sz w:val="20"/>
          <w:szCs w:val="20"/>
          <w:color w:val="auto"/>
        </w:rPr>
      </w:pPr>
    </w:p>
    <w:p>
      <w:pPr>
        <w:ind w:right="20" w:firstLine="745"/>
        <w:spacing w:after="0" w:line="249" w:lineRule="auto"/>
        <w:tabs>
          <w:tab w:leader="none" w:pos="1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included, any obligation by such Person to be liable for, or to pay, as obligor, guarantor or otherwise, on the obligations of the type referred to in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this definition of a third Person (whether or not such items would appear upon the balance sheet of such obligor or guarantor), other than by endorsement of negotiable instruments for collection in the ordinary course of business or consistent with industry practice; and</w:t>
      </w:r>
    </w:p>
    <w:p>
      <w:pPr>
        <w:spacing w:after="0" w:line="179" w:lineRule="exact"/>
        <w:rPr>
          <w:rFonts w:ascii="Times New Roman" w:cs="Times New Roman" w:eastAsia="Times New Roman" w:hAnsi="Times New Roman"/>
          <w:sz w:val="20"/>
          <w:szCs w:val="20"/>
          <w:color w:val="auto"/>
        </w:rPr>
      </w:pPr>
    </w:p>
    <w:p>
      <w:pPr>
        <w:ind w:right="260" w:firstLine="745"/>
        <w:spacing w:after="0" w:line="246" w:lineRule="auto"/>
        <w:tabs>
          <w:tab w:leader="none" w:pos="1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included, the obligations of the type referred to in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this definition of a third Person secured by a Lien on any asset owned by such first Person, whether or not such Indebtedness is assumed by such first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such Indebtedness will be the lesser of (a) the fair market value of such asset at such date of determination and (b) the amount of such Indebtedness of such other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the foregoing, Indebtedness will be deemed not to include:</w:t>
      </w:r>
    </w:p>
    <w:p>
      <w:pPr>
        <w:spacing w:after="0" w:line="184" w:lineRule="exact"/>
        <w:rPr>
          <w:rFonts w:ascii="Times New Roman" w:cs="Times New Roman" w:eastAsia="Times New Roman" w:hAnsi="Times New Roman"/>
          <w:sz w:val="20"/>
          <w:szCs w:val="20"/>
          <w:color w:val="auto"/>
        </w:rPr>
      </w:pPr>
    </w:p>
    <w:p>
      <w:pPr>
        <w:ind w:left="1540" w:hanging="399"/>
        <w:spacing w:after="0"/>
        <w:tabs>
          <w:tab w:leader="none" w:pos="15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incurred in the ordinary course of business or consistent with industry practice,</w:t>
      </w:r>
    </w:p>
    <w:p>
      <w:pPr>
        <w:spacing w:after="0" w:line="211" w:lineRule="exact"/>
        <w:rPr>
          <w:rFonts w:ascii="Times New Roman" w:cs="Times New Roman" w:eastAsia="Times New Roman" w:hAnsi="Times New Roman"/>
          <w:sz w:val="20"/>
          <w:szCs w:val="20"/>
          <w:color w:val="auto"/>
        </w:rPr>
      </w:pPr>
    </w:p>
    <w:p>
      <w:pPr>
        <w:ind w:left="740" w:right="540" w:firstLine="401"/>
        <w:spacing w:after="0" w:line="300" w:lineRule="auto"/>
        <w:tabs>
          <w:tab w:leader="none" w:pos="1531"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reimbursement obligations under commercial letters of credit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unreimbursed amounts under commercial letters of credit will be counted as Indebtedness three (3) Business Days after such amount is drawn),</w:t>
      </w:r>
    </w:p>
    <w:p>
      <w:pPr>
        <w:spacing w:after="0" w:line="132" w:lineRule="exact"/>
        <w:rPr>
          <w:rFonts w:ascii="Times New Roman" w:cs="Times New Roman" w:eastAsia="Times New Roman" w:hAnsi="Times New Roman"/>
          <w:sz w:val="19"/>
          <w:szCs w:val="19"/>
          <w:color w:val="auto"/>
        </w:rPr>
      </w:pPr>
    </w:p>
    <w:p>
      <w:pPr>
        <w:ind w:left="1540" w:hanging="399"/>
        <w:spacing w:after="0"/>
        <w:tabs>
          <w:tab w:leader="none" w:pos="15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or in respect of Qualified Securitization Facilities,</w:t>
      </w:r>
    </w:p>
    <w:p>
      <w:pPr>
        <w:spacing w:after="0" w:line="200" w:lineRule="exact"/>
        <w:rPr>
          <w:sz w:val="20"/>
          <w:szCs w:val="20"/>
          <w:color w:val="auto"/>
        </w:rPr>
      </w:pPr>
    </w:p>
    <w:p>
      <w:pPr>
        <w:spacing w:after="0" w:line="22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413" w:right="379" w:bottom="1440" w:gutter="0" w:footer="0" w:header="0"/>
        </w:sectPr>
      </w:pPr>
    </w:p>
    <w:bookmarkStart w:id="150" w:name="page151"/>
    <w:bookmarkEnd w:id="150"/>
    <w:p>
      <w:pPr>
        <w:ind w:left="2300" w:hanging="399"/>
        <w:spacing w:after="0"/>
        <w:tabs>
          <w:tab w:leader="none" w:pos="23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expenses,</w:t>
      </w:r>
    </w:p>
    <w:p>
      <w:pPr>
        <w:spacing w:after="0" w:line="215" w:lineRule="exact"/>
        <w:rPr>
          <w:rFonts w:ascii="Times New Roman" w:cs="Times New Roman" w:eastAsia="Times New Roman" w:hAnsi="Times New Roman"/>
          <w:sz w:val="20"/>
          <w:szCs w:val="20"/>
          <w:color w:val="auto"/>
        </w:rPr>
      </w:pPr>
    </w:p>
    <w:p>
      <w:pPr>
        <w:ind w:left="2300" w:hanging="399"/>
        <w:spacing w:after="0"/>
        <w:tabs>
          <w:tab w:leader="none" w:pos="23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or prepaid revenues,</w:t>
      </w:r>
    </w:p>
    <w:p>
      <w:pPr>
        <w:spacing w:after="0" w:line="215" w:lineRule="exact"/>
        <w:rPr>
          <w:rFonts w:ascii="Times New Roman" w:cs="Times New Roman" w:eastAsia="Times New Roman" w:hAnsi="Times New Roman"/>
          <w:sz w:val="20"/>
          <w:szCs w:val="20"/>
          <w:color w:val="auto"/>
        </w:rPr>
      </w:pPr>
    </w:p>
    <w:p>
      <w:pPr>
        <w:ind w:left="2300" w:hanging="399"/>
        <w:spacing w:after="0"/>
        <w:tabs>
          <w:tab w:leader="none" w:pos="23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equipment leases or Non-Finance Leases,</w:t>
      </w:r>
    </w:p>
    <w:p>
      <w:pPr>
        <w:spacing w:after="0" w:line="215" w:lineRule="exact"/>
        <w:rPr>
          <w:rFonts w:ascii="Times New Roman" w:cs="Times New Roman" w:eastAsia="Times New Roman" w:hAnsi="Times New Roman"/>
          <w:sz w:val="20"/>
          <w:szCs w:val="20"/>
          <w:color w:val="auto"/>
        </w:rPr>
      </w:pPr>
    </w:p>
    <w:p>
      <w:pPr>
        <w:ind w:left="1500" w:right="20" w:firstLine="401"/>
        <w:spacing w:after="0" w:line="249" w:lineRule="auto"/>
        <w:tabs>
          <w:tab w:leader="none" w:pos="229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owed to dissenting stockholders in connection with, or as a result of, their exercise of appraisal rights and the settlement of any claims or actions (whether actual, contingent or potential) with respect thereto (including any accrued interest), with respect to any permitted Investments to the extent paid when due (unless being properly contested), and</w:t>
      </w:r>
    </w:p>
    <w:p>
      <w:pPr>
        <w:spacing w:after="0" w:line="179" w:lineRule="exact"/>
        <w:rPr>
          <w:rFonts w:ascii="Times New Roman" w:cs="Times New Roman" w:eastAsia="Times New Roman" w:hAnsi="Times New Roman"/>
          <w:sz w:val="20"/>
          <w:szCs w:val="20"/>
          <w:color w:val="auto"/>
        </w:rPr>
      </w:pPr>
    </w:p>
    <w:p>
      <w:pPr>
        <w:ind w:left="1500" w:right="40" w:firstLine="401"/>
        <w:spacing w:after="0" w:line="269" w:lineRule="auto"/>
        <w:tabs>
          <w:tab w:leader="none" w:pos="268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retirement obligations and obligations in respect of reclamation and workers compensation (including pensions and retiree medical care),</w:t>
      </w:r>
    </w:p>
    <w:p>
      <w:pPr>
        <w:spacing w:after="0" w:line="155" w:lineRule="exact"/>
        <w:rPr>
          <w:sz w:val="20"/>
          <w:szCs w:val="20"/>
          <w:color w:val="auto"/>
        </w:rPr>
      </w:pPr>
    </w:p>
    <w:p>
      <w:pPr>
        <w:ind w:left="760" w:right="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that (x) Indebtedness will be calculated without giving effect to the effects of Accounting Standards Codification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Topic No.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and related interpretations to the extent such effects would otherwise increase or decrease an amount of Indebtedness for any purpose under this Agreement as a result of accounting for any embedded derivatives created by the terms of such Indebtedness and (y) for all purposes of the Loan Documents, the Indebtedness of any Person shall not include, with respect to any Non-Wholly Owned Subsidiary, such portion of the Indebtedness (or guarantee obligations in respect of obligations) of such Non-Wholly Owned Subsidiary that corresponds to the equity interest share of Persons other than the Borrower or its Restricted Subsidiaries in such Non-Wholly Owned Subsidiary.</w:t>
      </w:r>
    </w:p>
    <w:p>
      <w:pPr>
        <w:spacing w:after="0" w:line="179"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9"/>
          <w:szCs w:val="19"/>
          <w:color w:val="auto"/>
        </w:rPr>
        <w:t>For the avoidance of doubt, Indebtedness will be deemed to not include obligations (“</w:t>
      </w:r>
      <w:r>
        <w:rPr>
          <w:rFonts w:ascii="Times New Roman" w:cs="Times New Roman" w:eastAsia="Times New Roman" w:hAnsi="Times New Roman"/>
          <w:sz w:val="19"/>
          <w:szCs w:val="19"/>
          <w:b w:val="1"/>
          <w:bCs w:val="1"/>
          <w:color w:val="auto"/>
        </w:rPr>
        <w:t>Escrowed Obligations</w:t>
      </w:r>
      <w:r>
        <w:rPr>
          <w:rFonts w:ascii="Times New Roman" w:cs="Times New Roman" w:eastAsia="Times New Roman" w:hAnsi="Times New Roman"/>
          <w:sz w:val="19"/>
          <w:szCs w:val="19"/>
          <w:color w:val="auto"/>
        </w:rPr>
        <w:t>”) incurred in advance of, and the proceeds of which are to be applied in connection with, the consummation of a transaction (including any repayment, prepayment or redemption as to which a notice thereof has been delivered to the applicable holders thereof), solely to the extent that the proceeds thereof are and continue to be held in an escrow, trust, collateral or similar account or arrangement (collectively, an “</w:t>
      </w:r>
      <w:r>
        <w:rPr>
          <w:rFonts w:ascii="Times New Roman" w:cs="Times New Roman" w:eastAsia="Times New Roman" w:hAnsi="Times New Roman"/>
          <w:sz w:val="19"/>
          <w:szCs w:val="19"/>
          <w:b w:val="1"/>
          <w:bCs w:val="1"/>
          <w:color w:val="auto"/>
        </w:rPr>
        <w:t>Escrow</w:t>
      </w:r>
      <w:r>
        <w:rPr>
          <w:rFonts w:ascii="Times New Roman" w:cs="Times New Roman" w:eastAsia="Times New Roman" w:hAnsi="Times New Roman"/>
          <w:sz w:val="19"/>
          <w:szCs w:val="19"/>
          <w:color w:val="auto"/>
        </w:rPr>
        <w:t>”) and are not otherwise made available for any other purpose and are used for such purpose (it being understood that in any event, any such proceeds held in such Escrow shall be deemed not to constitute part of the Unrestricted Cash Amount).</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Liabilities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0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Independent Assets or Operations</w:t>
      </w:r>
      <w:r>
        <w:rPr>
          <w:rFonts w:ascii="Times New Roman" w:cs="Times New Roman" w:eastAsia="Times New Roman" w:hAnsi="Times New Roman"/>
          <w:sz w:val="20"/>
          <w:szCs w:val="20"/>
          <w:color w:val="auto"/>
        </w:rPr>
        <w:t>” means, with respect to any Parent Company, that the Parent Company’s total assets, revenues, income from continuing operations before income taxes and cash flows from operating activities (excluding in each case amounts related to its investment in the Borrower and the Subsidiaries), determined in accordance with GAAP and as shown on the most recent balance sheet of such Parent Company, is more than 5.0% of such Parent Company’s corresponding consolidated amount.</w:t>
      </w:r>
    </w:p>
    <w:p>
      <w:pPr>
        <w:spacing w:after="0" w:line="176" w:lineRule="exact"/>
        <w:rPr>
          <w:sz w:val="20"/>
          <w:szCs w:val="20"/>
          <w:color w:val="auto"/>
        </w:rPr>
      </w:pPr>
    </w:p>
    <w:p>
      <w:pPr>
        <w:ind w:right="22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Independent Financial Advisor</w:t>
      </w:r>
      <w:r>
        <w:rPr>
          <w:rFonts w:ascii="Times New Roman" w:cs="Times New Roman" w:eastAsia="Times New Roman" w:hAnsi="Times New Roman"/>
          <w:sz w:val="19"/>
          <w:szCs w:val="19"/>
          <w:color w:val="auto"/>
        </w:rPr>
        <w:t>” means an accounting, appraisal, investment banking firm or consultant of nationally recognized standing that, in the good faith judgment of the Borrower, is qualified to perform the task for which it has been engaged.</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1" w:name="page152"/>
    <w:bookmarkEnd w:id="151"/>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7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Lender</w:t>
      </w:r>
      <w:r>
        <w:rPr>
          <w:rFonts w:ascii="Times New Roman" w:cs="Times New Roman" w:eastAsia="Times New Roman" w:hAnsi="Times New Roman"/>
          <w:sz w:val="20"/>
          <w:szCs w:val="20"/>
          <w:color w:val="auto"/>
        </w:rPr>
        <w:t>” means, collectively, Capital One, National Association, Citizens Bank, N.A., KeyBank National Association, Truist Bank, Bank of Montreal, Wells Fargo Bank and National Association.</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Security Agreements</w:t>
      </w:r>
      <w:r>
        <w:rPr>
          <w:rFonts w:ascii="Times New Roman" w:cs="Times New Roman" w:eastAsia="Times New Roman" w:hAnsi="Times New Roman"/>
          <w:sz w:val="20"/>
          <w:szCs w:val="20"/>
          <w:color w:val="auto"/>
        </w:rPr>
        <w:t>” has the meaning specified in the Security Agreement.</w:t>
      </w:r>
    </w:p>
    <w:p>
      <w:pPr>
        <w:spacing w:after="0" w:line="216" w:lineRule="exact"/>
        <w:rPr>
          <w:sz w:val="20"/>
          <w:szCs w:val="20"/>
          <w:color w:val="auto"/>
        </w:rPr>
      </w:pPr>
    </w:p>
    <w:p>
      <w:pPr>
        <w:ind w:right="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Intercompany Note</w:t>
      </w:r>
      <w:r>
        <w:rPr>
          <w:rFonts w:ascii="Times New Roman" w:cs="Times New Roman" w:eastAsia="Times New Roman" w:hAnsi="Times New Roman"/>
          <w:sz w:val="20"/>
          <w:szCs w:val="20"/>
          <w:color w:val="auto"/>
        </w:rPr>
        <w:t xml:space="preserve">” means the Intercompany Note, dated as of the Closing Date, substantially in the form of </w:t>
      </w:r>
      <w:r>
        <w:rPr>
          <w:rFonts w:ascii="Times New Roman" w:cs="Times New Roman" w:eastAsia="Times New Roman" w:hAnsi="Times New Roman"/>
          <w:sz w:val="20"/>
          <w:szCs w:val="20"/>
          <w:u w:val="single" w:color="auto"/>
          <w:color w:val="auto"/>
        </w:rPr>
        <w:t>Exhibit Q</w:t>
      </w:r>
      <w:r>
        <w:rPr>
          <w:rFonts w:ascii="Times New Roman" w:cs="Times New Roman" w:eastAsia="Times New Roman" w:hAnsi="Times New Roman"/>
          <w:sz w:val="20"/>
          <w:szCs w:val="20"/>
          <w:color w:val="auto"/>
        </w:rPr>
        <w:t xml:space="preserve"> executed by the Borrower and each Restricted Subsidiary party thereto.</w:t>
      </w:r>
    </w:p>
    <w:p>
      <w:pPr>
        <w:spacing w:after="0" w:line="152" w:lineRule="exact"/>
        <w:rPr>
          <w:sz w:val="20"/>
          <w:szCs w:val="20"/>
          <w:color w:val="auto"/>
        </w:rPr>
      </w:pPr>
    </w:p>
    <w:p>
      <w:pPr>
        <w:ind w:right="3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Intercreditor Agreement</w:t>
      </w:r>
      <w:r>
        <w:rPr>
          <w:rFonts w:ascii="Times New Roman" w:cs="Times New Roman" w:eastAsia="Times New Roman" w:hAnsi="Times New Roman"/>
          <w:sz w:val="20"/>
          <w:szCs w:val="20"/>
          <w:color w:val="auto"/>
        </w:rPr>
        <w:t>” means, as applicable, any Junior Priority Intercreditor Agreement and any Equal Priority Intercreditor Agreement.</w:t>
      </w:r>
    </w:p>
    <w:p>
      <w:pPr>
        <w:spacing w:after="0" w:line="152"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Coverage Ratio</w:t>
      </w:r>
      <w:r>
        <w:rPr>
          <w:rFonts w:ascii="Times New Roman" w:cs="Times New Roman" w:eastAsia="Times New Roman" w:hAnsi="Times New Roman"/>
          <w:sz w:val="20"/>
          <w:szCs w:val="20"/>
          <w:color w:val="auto"/>
        </w:rPr>
        <w:t xml:space="preserve">” means, with respect to any Test Period, the ratio of (1) Consolidated EBITDA of the Borrower and the Restricted Subsidiaries for such Test Period to (2) Consolidated Interest Expense of the Borrower and the Restricted Subsidiaries for such Test Period, in each case on a pro forma basis with such pro forma adjustments as are appropriate and consistent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however, that, with respect to any Test Period ending on or before September 30, 2025, amounts in clause (2) shall be measured for the period beginning on January 1, 2025 and ending on the last day of such Test Period, divided by the number of days in such period and multiplied by 365.</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Coverage Ratio Financial Covenant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4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xml:space="preserve">” means, (1) as to any Loan of any Class other than a Base Rate Loan, the last day of each Interest Period applicable to such Loan and the applicable Maturity Date of the Loans of such Class;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Interest Period for a Term Benchmark Rate Loan exceeds three months, the respective dates that fall every three months after the beginning of such Interest Period shall also be Interest Payment Dates and (2) as to any Base Rate Loan of any Class, the last Business Day of each March, June, September and December and the applicable Maturity Date of the Loans of such Class.</w:t>
      </w:r>
    </w:p>
    <w:p>
      <w:pPr>
        <w:spacing w:after="0" w:line="180" w:lineRule="exact"/>
        <w:rPr>
          <w:sz w:val="20"/>
          <w:szCs w:val="20"/>
          <w:color w:val="auto"/>
        </w:rPr>
      </w:pPr>
    </w:p>
    <w:p>
      <w:pPr>
        <w:ind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xml:space="preserve">” means, as to each Term Benchmark Rate Loan, the period commencing on the Business Day such Term Benchmark Rate Loan is disbursed or converted to or continued as a Term Benchmark Rate Loan and ending on the date one, three or six months thereafter (or such other period as may be consented to by each applicable Lender and the Administrative Agent), as selected by the Borrower in its Committed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ind w:left="760" w:right="60" w:firstLine="745"/>
        <w:spacing w:after="0" w:line="254" w:lineRule="auto"/>
        <w:tabs>
          <w:tab w:leader="none" w:pos="19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174" w:lineRule="exact"/>
        <w:rPr>
          <w:rFonts w:ascii="Times New Roman" w:cs="Times New Roman" w:eastAsia="Times New Roman" w:hAnsi="Times New Roman"/>
          <w:sz w:val="20"/>
          <w:szCs w:val="20"/>
          <w:color w:val="auto"/>
        </w:rPr>
      </w:pPr>
    </w:p>
    <w:p>
      <w:pPr>
        <w:jc w:val="both"/>
        <w:ind w:left="760" w:right="300" w:firstLine="745"/>
        <w:spacing w:after="0" w:line="254" w:lineRule="auto"/>
        <w:tabs>
          <w:tab w:leader="none" w:pos="19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52" w:name="page153"/>
    <w:bookmarkEnd w:id="152"/>
    <w:p>
      <w:pPr>
        <w:ind w:left="760" w:right="540" w:firstLine="745"/>
        <w:spacing w:after="0" w:line="269" w:lineRule="auto"/>
        <w:tabs>
          <w:tab w:leader="none" w:pos="190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applicable Maturity Date for the Class of Loans of which such Term Benchmark Rate Loan is a part; and</w:t>
      </w:r>
    </w:p>
    <w:p>
      <w:pPr>
        <w:spacing w:after="0" w:line="159" w:lineRule="exact"/>
        <w:rPr>
          <w:rFonts w:ascii="Times New Roman" w:cs="Times New Roman" w:eastAsia="Times New Roman" w:hAnsi="Times New Roman"/>
          <w:sz w:val="20"/>
          <w:szCs w:val="20"/>
          <w:color w:val="auto"/>
        </w:rPr>
      </w:pPr>
    </w:p>
    <w:p>
      <w:pPr>
        <w:ind w:left="760" w:right="120" w:firstLine="745"/>
        <w:spacing w:after="0" w:line="249" w:lineRule="auto"/>
        <w:tabs>
          <w:tab w:leader="none" w:pos="190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applicable to a Loan or portion thereof shall extend beyond any date upon which is due any scheduled principal payment in respect of such Loan unless the aggregate principal amount of such Loan represented by Base Rate Loans or by Term Benchmark Rate Loans having Interest Periods that will expire on or before such date, if any, is equal to or in excess of the amount of such principal payment.</w:t>
      </w:r>
    </w:p>
    <w:p>
      <w:pPr>
        <w:spacing w:after="0" w:line="176" w:lineRule="exact"/>
        <w:rPr>
          <w:sz w:val="20"/>
          <w:szCs w:val="20"/>
          <w:color w:val="auto"/>
        </w:rPr>
      </w:pPr>
    </w:p>
    <w:p>
      <w:pPr>
        <w:ind w:right="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Grade Rating</w:t>
      </w:r>
      <w:r>
        <w:rPr>
          <w:rFonts w:ascii="Times New Roman" w:cs="Times New Roman" w:eastAsia="Times New Roman" w:hAnsi="Times New Roman"/>
          <w:sz w:val="20"/>
          <w:szCs w:val="20"/>
          <w:color w:val="auto"/>
        </w:rPr>
        <w:t>” means a rating equal to or higher than Baa3 (or the equivalent) by Moody’s or BBB- (or the equivalent) by S&amp;P, or an equivalent rating by any other Rating Agency selected by the Borrower.</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Grade Securities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60" w:right="640" w:firstLine="745"/>
        <w:spacing w:after="0" w:line="269" w:lineRule="auto"/>
        <w:tabs>
          <w:tab w:leader="none" w:pos="19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guaranteed or insured by the United States government or any agency or instrumentality thereof (other than Cash Equivalents);</w:t>
      </w:r>
    </w:p>
    <w:p>
      <w:pPr>
        <w:spacing w:after="0" w:line="159" w:lineRule="exact"/>
        <w:rPr>
          <w:rFonts w:ascii="Times New Roman" w:cs="Times New Roman" w:eastAsia="Times New Roman" w:hAnsi="Times New Roman"/>
          <w:sz w:val="20"/>
          <w:szCs w:val="20"/>
          <w:color w:val="auto"/>
        </w:rPr>
      </w:pPr>
    </w:p>
    <w:p>
      <w:pPr>
        <w:ind w:left="760" w:right="640" w:firstLine="745"/>
        <w:spacing w:after="0" w:line="269" w:lineRule="auto"/>
        <w:tabs>
          <w:tab w:leader="none" w:pos="19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securities or debt instruments with an Investment Grade Rating, but excluding any debt securities or debt instruments constituting loans or advances among the Borrower and its Subsidiaries;</w:t>
      </w:r>
    </w:p>
    <w:p>
      <w:pPr>
        <w:spacing w:after="0" w:line="159" w:lineRule="exact"/>
        <w:rPr>
          <w:rFonts w:ascii="Times New Roman" w:cs="Times New Roman" w:eastAsia="Times New Roman" w:hAnsi="Times New Roman"/>
          <w:sz w:val="20"/>
          <w:szCs w:val="20"/>
          <w:color w:val="auto"/>
        </w:rPr>
      </w:pPr>
    </w:p>
    <w:p>
      <w:pPr>
        <w:ind w:left="760" w:right="240" w:firstLine="745"/>
        <w:spacing w:after="0" w:line="269" w:lineRule="auto"/>
        <w:tabs>
          <w:tab w:leader="none" w:pos="19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any fund that invests substantially all of its assets in investments of the type described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this definition which fund may also hold immaterial amounts of cash pending investment or distribution;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corresponding instruments in countries other than the United States customarily utilized for high quality investments.</w:t>
      </w:r>
    </w:p>
    <w:p>
      <w:pPr>
        <w:spacing w:after="0" w:line="223"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Investments</w:t>
      </w:r>
      <w:r>
        <w:rPr>
          <w:rFonts w:ascii="Times New Roman" w:cs="Times New Roman" w:eastAsia="Times New Roman" w:hAnsi="Times New Roman"/>
          <w:sz w:val="20"/>
          <w:szCs w:val="20"/>
          <w:color w:val="auto"/>
        </w:rPr>
        <w:t xml:space="preserve">” 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commission, travel and similar advances to employees, directors, officers, members of management, consultants and independent contractors, in each case made in the ordinary course of business or consistent with industry practice), purchases or other acquisitions for consideration of Indebtedness, Equity Interests or other securities issued by any other Person or any transaction that results in a Person becoming an Affiliated Practice. For purposes of the definitions of “Permitted Investments” and “Unrestricted Subsidiary” and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760" w:right="60" w:firstLine="745"/>
        <w:spacing w:after="0" w:line="244" w:lineRule="auto"/>
        <w:tabs>
          <w:tab w:leader="none" w:pos="190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will include the portion (proportionate to the Borrower’s Equity Interest in such Subsidiary) of the fair market value of the net assets of a Subsidiary of the Borrower at the time that such Subsidiary is designated an Unrestricted Subsidiary (but excluding, for the avoidance of doubt, the fair market value of the net assets of any other Subsidiary of such Subsidiary being designated as an Unrestricted Subsidiary that was previously designated as an Unrestricted Subsidiary and which used capacity under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to make such Investment in such Unrestricted Subsidiary at such previous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a redesignation of such Subsidiary as a Restricted Subsidiary, the Borrower will be deemed to continue to have a permanent “Investment” in an Unrestricted Subsidiary in an amount (if positive) equal to:</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ind w:left="2640" w:hanging="386"/>
        <w:spacing w:after="0"/>
        <w:tabs>
          <w:tab w:leader="none" w:pos="26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“Investment” in such Subsidiary at the time of such redesignation; </w:t>
      </w:r>
      <w:r>
        <w:rPr>
          <w:rFonts w:ascii="Times New Roman" w:cs="Times New Roman" w:eastAsia="Times New Roman" w:hAnsi="Times New Roman"/>
          <w:sz w:val="20"/>
          <w:szCs w:val="20"/>
          <w:i w:val="1"/>
          <w:iCs w:val="1"/>
          <w:color w:val="auto"/>
        </w:rPr>
        <w:t>minus</w:t>
      </w:r>
    </w:p>
    <w:p>
      <w:pPr>
        <w:spacing w:after="0" w:line="219" w:lineRule="exact"/>
        <w:rPr>
          <w:rFonts w:ascii="Times New Roman" w:cs="Times New Roman" w:eastAsia="Times New Roman" w:hAnsi="Times New Roman"/>
          <w:sz w:val="20"/>
          <w:szCs w:val="20"/>
          <w:color w:val="auto"/>
        </w:rPr>
      </w:pPr>
    </w:p>
    <w:p>
      <w:pPr>
        <w:ind w:left="1500" w:right="180" w:firstLine="754"/>
        <w:spacing w:after="0" w:line="269" w:lineRule="auto"/>
        <w:tabs>
          <w:tab w:leader="none" w:pos="264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(proportionate to the Borrower’s Equity Interest in such Subsidiary) of the fair market value of the net assets of such Subsidiary at the time of such redesignation; and</w:t>
      </w:r>
    </w:p>
    <w:p>
      <w:pPr>
        <w:spacing w:after="0" w:line="159" w:lineRule="exact"/>
        <w:rPr>
          <w:sz w:val="20"/>
          <w:szCs w:val="20"/>
          <w:color w:val="auto"/>
        </w:rPr>
      </w:pPr>
    </w:p>
    <w:p>
      <w:pPr>
        <w:ind w:left="1900" w:hanging="395"/>
        <w:spacing w:after="0"/>
        <w:tabs>
          <w:tab w:leader="none" w:pos="19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property transferred to or from an Unrestricted Subsidiary will be valued at its fair market value at the time of</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transfer.</w:t>
      </w:r>
    </w:p>
    <w:p>
      <w:pPr>
        <w:spacing w:after="0" w:line="194" w:lineRule="exact"/>
        <w:rPr>
          <w:sz w:val="20"/>
          <w:szCs w:val="20"/>
          <w:color w:val="auto"/>
        </w:rPr>
      </w:pPr>
    </w:p>
    <w:p>
      <w:pPr>
        <w:ind w:right="200" w:firstLine="1497"/>
        <w:spacing w:after="0" w:line="249" w:lineRule="auto"/>
        <w:rPr>
          <w:sz w:val="20"/>
          <w:szCs w:val="20"/>
          <w:color w:val="auto"/>
        </w:rPr>
      </w:pPr>
      <w:r>
        <w:rPr>
          <w:rFonts w:ascii="Times New Roman" w:cs="Times New Roman" w:eastAsia="Times New Roman" w:hAnsi="Times New Roman"/>
          <w:sz w:val="20"/>
          <w:szCs w:val="20"/>
          <w:color w:val="auto"/>
        </w:rPr>
        <w:t>The amount of any Investment outstanding at any time will be the original cost of such Investment, reduced by any dividend, distribution, interest payment, return of capital, repayment or other amount received in cash by the Borrower or a Restricted Subsidiary in respect of such Investment. An Investment will be deemed to have been made at the time of making any such loans, advance or capital contribution, purchase or other acquisition for consideration of Indebtedness, Equity Interests or other securities.</w:t>
      </w:r>
    </w:p>
    <w:p>
      <w:pPr>
        <w:spacing w:after="0" w:line="176" w:lineRule="exact"/>
        <w:rPr>
          <w:sz w:val="20"/>
          <w:szCs w:val="20"/>
          <w:color w:val="auto"/>
        </w:rPr>
      </w:pPr>
    </w:p>
    <w:p>
      <w:pPr>
        <w:ind w:right="54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Investor</w:t>
      </w:r>
      <w:r>
        <w:rPr>
          <w:rFonts w:ascii="Times New Roman" w:cs="Times New Roman" w:eastAsia="Times New Roman" w:hAnsi="Times New Roman"/>
          <w:sz w:val="19"/>
          <w:szCs w:val="19"/>
          <w:color w:val="auto"/>
        </w:rPr>
        <w:t>” means TPG Capital, L.P. and any of its Affiliates, limited partners and funds or partnerships managed or advised by its or any of its Affiliates or limited partners, in each case, not including any portfolio company of any of the foregoing.</w:t>
      </w:r>
    </w:p>
    <w:p>
      <w:pPr>
        <w:spacing w:after="0" w:line="1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IP Rights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Internal Revenue Service of the United States.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ISDA CDS Definitions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86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ISP</w:t>
      </w:r>
      <w:r>
        <w:rPr>
          <w:rFonts w:ascii="Times New Roman" w:cs="Times New Roman" w:eastAsia="Times New Roman" w:hAnsi="Times New Roman"/>
          <w:sz w:val="19"/>
          <w:szCs w:val="19"/>
          <w:color w:val="auto"/>
        </w:rPr>
        <w:t>” means, with respect to any Letter of Credit, the “International Standby Practices 1998” published by the International Chamber of Commerce publication no. 950 (or such later version thereof as may be in effect at the time of issuance).</w:t>
      </w:r>
    </w:p>
    <w:p>
      <w:pPr>
        <w:spacing w:after="0" w:line="1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Issuing Bank</w:t>
      </w:r>
      <w:r>
        <w:rPr>
          <w:rFonts w:ascii="Times New Roman" w:cs="Times New Roman" w:eastAsia="Times New Roman" w:hAnsi="Times New Roman"/>
          <w:sz w:val="20"/>
          <w:szCs w:val="20"/>
          <w:color w:val="auto"/>
        </w:rPr>
        <w:t>” means (a) Capital One or its Affiliates or designees, together with its permitted successors and assigns,</w:t>
      </w:r>
    </w:p>
    <w:p>
      <w:pPr>
        <w:spacing w:after="0" w:line="26" w:lineRule="exact"/>
        <w:rPr>
          <w:sz w:val="20"/>
          <w:szCs w:val="20"/>
          <w:color w:val="auto"/>
        </w:rPr>
      </w:pPr>
    </w:p>
    <w:p>
      <w:pPr>
        <w:ind w:right="120" w:firstLine="8"/>
        <w:spacing w:after="0" w:line="239" w:lineRule="auto"/>
        <w:tabs>
          <w:tab w:leader="none" w:pos="2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one or more banks, trust companies or other Persons in each case expressly identified by the Administrative Agent from time to time and reasonably acceptable to the Borrower and (c) any other Revolving Lender that becomes an Issuing Bank in accordance with </w:t>
      </w:r>
      <w:r>
        <w:rPr>
          <w:rFonts w:ascii="Times New Roman" w:cs="Times New Roman" w:eastAsia="Times New Roman" w:hAnsi="Times New Roman"/>
          <w:sz w:val="20"/>
          <w:szCs w:val="20"/>
          <w:u w:val="single" w:color="auto"/>
          <w:color w:val="auto"/>
        </w:rPr>
        <w:t>Section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2.03(11)</w:t>
      </w:r>
      <w:r>
        <w:rPr>
          <w:rFonts w:ascii="Times New Roman" w:cs="Times New Roman" w:eastAsia="Times New Roman" w:hAnsi="Times New Roman"/>
          <w:sz w:val="20"/>
          <w:szCs w:val="20"/>
          <w:color w:val="auto"/>
        </w:rPr>
        <w:t xml:space="preserve">; provided no Issuing Bank shall be required to issue either (x) letters of guarantee or bankers acceptances or (y) Letters of Credit other than standby letters of credit, in each case without its consent. Each Issuing Bank may, in its discretion, arrange for one or more Letters of Credit to be issued by Affiliates or designees of such Issuing Bank, in which case the term “Issuing Bank” shall include any such Affiliate or designee with respect to Letters of Credit issued by such Affiliate or designee. Any Issuing Bank may, in its discretion, arrange for one or more Letters of Credit to be issued by any Affiliate of such Issuing Bank, in which case the term “Issuing Bank” shall include any such Affiliate with respect to Letters of Credit issued by such Affiliate (it being agreed that such Issuing Bank shall, or shall cause such Affiliate to, comply with the requirements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with respect to such Letters of Credit).</w:t>
      </w:r>
    </w:p>
    <w:p>
      <w:pPr>
        <w:spacing w:after="0" w:line="187" w:lineRule="exact"/>
        <w:rPr>
          <w:sz w:val="20"/>
          <w:szCs w:val="20"/>
          <w:color w:val="auto"/>
        </w:rPr>
      </w:pPr>
    </w:p>
    <w:p>
      <w:pPr>
        <w:ind w:right="38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Issuing Bank Document</w:t>
      </w:r>
      <w:r>
        <w:rPr>
          <w:rFonts w:ascii="Times New Roman" w:cs="Times New Roman" w:eastAsia="Times New Roman" w:hAnsi="Times New Roman"/>
          <w:sz w:val="20"/>
          <w:szCs w:val="20"/>
          <w:color w:val="auto"/>
        </w:rPr>
        <w:t>” means with respect to any Letter of Credit, the L/C Application, and any other document, agreement and instrument entered into by any Issuing Bank and the Borrower (or any of its respective Subsidiaries) or in favor of such Issuing Bank and relating to such Letter of Credit in the case of Letters of Credit (including, for the avoidance of doubt, if applicable, the Master Agreement for Standby Letters of Credit and the Master Agreement for Documentary Letters of Credit).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4" w:name="page155"/>
    <w:bookmarkEnd w:id="154"/>
    <w:p>
      <w:pPr>
        <w:ind w:right="6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Indebtedness</w:t>
      </w:r>
      <w:r>
        <w:rPr>
          <w:rFonts w:ascii="Times New Roman" w:cs="Times New Roman" w:eastAsia="Times New Roman" w:hAnsi="Times New Roman"/>
          <w:sz w:val="20"/>
          <w:szCs w:val="20"/>
          <w:color w:val="auto"/>
        </w:rPr>
        <w:t>” means any (x) Indebtedness of any Loan Party that by its terms is contractually subordinated in right of payment to the Obligations of such Loan Party arising under the Loans or the Guaranty, (y) Indebtedness of any Loan Party that is secured by a Lien on the Collateral and that by its terms is contractually subordinated in right of lien priority to the Lien on the Collateral securing the First Lien Obligations and (z) Indebtedness of any Loan Party that is unsecured, in each case, excluding (i) Indebtedness arising from agreements providing for indemnification, adjustment of purchase price, earnouts, other contingent consideration obligations and other deferred purchase price or similar obligations and seller-provided financing and (ii) intercompany debt.</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Lien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clause (39)</w:t>
      </w:r>
      <w:r>
        <w:rPr>
          <w:rFonts w:ascii="Times New Roman" w:cs="Times New Roman" w:eastAsia="Times New Roman" w:hAnsi="Times New Roman"/>
          <w:sz w:val="20"/>
          <w:szCs w:val="20"/>
          <w:color w:val="auto"/>
        </w:rPr>
        <w:t xml:space="preserve"> of the definition of “Permitted Liens.”</w:t>
      </w:r>
    </w:p>
    <w:p>
      <w:pPr>
        <w:spacing w:after="0" w:line="216"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Priority Intercreditor Agreement</w:t>
      </w:r>
      <w:r>
        <w:rPr>
          <w:rFonts w:ascii="Times New Roman" w:cs="Times New Roman" w:eastAsia="Times New Roman" w:hAnsi="Times New Roman"/>
          <w:sz w:val="20"/>
          <w:szCs w:val="20"/>
          <w:color w:val="auto"/>
        </w:rPr>
        <w:t xml:space="preserve">” means any of (1) an intercreditor agreement substantially in the form of </w:t>
      </w:r>
      <w:r>
        <w:rPr>
          <w:rFonts w:ascii="Times New Roman" w:cs="Times New Roman" w:eastAsia="Times New Roman" w:hAnsi="Times New Roman"/>
          <w:sz w:val="20"/>
          <w:szCs w:val="20"/>
          <w:u w:val="single" w:color="auto"/>
          <w:color w:val="auto"/>
        </w:rPr>
        <w:t>Exhibit G-2</w:t>
      </w:r>
      <w:r>
        <w:rPr>
          <w:rFonts w:ascii="Times New Roman" w:cs="Times New Roman" w:eastAsia="Times New Roman" w:hAnsi="Times New Roman"/>
          <w:sz w:val="20"/>
          <w:szCs w:val="20"/>
          <w:color w:val="auto"/>
        </w:rPr>
        <w:t>, together with any changes thereto which are reasonably acceptable to the Borrower and the Administrative Agent or (2) a customary intercreditor agreement in form and substance reasonably acceptable to the Administrative Agent and the Borrower, which agreement shall provide that the Liens on the Collateral securing such Indebtedness shall rank junior in priority to the Liens on the Collateral securing the Obligations under this Agreement, in each case with such modifications thereto as the Administrative Agent and the Borrower may agree.</w:t>
      </w:r>
    </w:p>
    <w:p>
      <w:pPr>
        <w:spacing w:after="0" w:line="179" w:lineRule="exact"/>
        <w:rPr>
          <w:sz w:val="20"/>
          <w:szCs w:val="20"/>
          <w:color w:val="auto"/>
        </w:rPr>
      </w:pPr>
    </w:p>
    <w:p>
      <w:pPr>
        <w:ind w:right="4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Advance</w:t>
      </w:r>
      <w:r>
        <w:rPr>
          <w:rFonts w:ascii="Times New Roman" w:cs="Times New Roman" w:eastAsia="Times New Roman" w:hAnsi="Times New Roman"/>
          <w:sz w:val="20"/>
          <w:szCs w:val="20"/>
          <w:color w:val="auto"/>
        </w:rPr>
        <w:t>” means, with respect to each Revolving Lender, such Lender’s funding of its participation in any L/C Borrowing in accordance with its Applicable Percentage.</w:t>
      </w:r>
    </w:p>
    <w:p>
      <w:pPr>
        <w:spacing w:after="0" w:line="152" w:lineRule="exact"/>
        <w:rPr>
          <w:sz w:val="20"/>
          <w:szCs w:val="20"/>
          <w:color w:val="auto"/>
        </w:rPr>
      </w:pPr>
    </w:p>
    <w:p>
      <w:pPr>
        <w:ind w:right="1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relevant Issuing Bank.</w:t>
      </w:r>
    </w:p>
    <w:p>
      <w:pPr>
        <w:spacing w:after="0" w:line="152" w:lineRule="exact"/>
        <w:rPr>
          <w:sz w:val="20"/>
          <w:szCs w:val="20"/>
          <w:color w:val="auto"/>
        </w:rPr>
      </w:pPr>
    </w:p>
    <w:p>
      <w:pPr>
        <w:ind w:right="2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prior to the Honor Date or refinanced as a Revolving Borrowing.</w:t>
      </w:r>
    </w:p>
    <w:p>
      <w:pPr>
        <w:spacing w:after="0" w:line="152" w:lineRule="exact"/>
        <w:rPr>
          <w:sz w:val="20"/>
          <w:szCs w:val="20"/>
          <w:color w:val="auto"/>
        </w:rPr>
      </w:pPr>
    </w:p>
    <w:p>
      <w:pPr>
        <w:ind w:right="2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Commitment</w:t>
      </w:r>
      <w:r>
        <w:rPr>
          <w:rFonts w:ascii="Times New Roman" w:cs="Times New Roman" w:eastAsia="Times New Roman" w:hAnsi="Times New Roman"/>
          <w:sz w:val="20"/>
          <w:szCs w:val="20"/>
          <w:color w:val="auto"/>
        </w:rPr>
        <w:t xml:space="preserve">” means, with respect to any Person, the amount set forth opposite the name of such Person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“L/C Commitment” or in the relevant Assignment and Assumption, as applicable, as such amount may be adjusted from time to time in accordance with this Agreement.</w:t>
      </w:r>
    </w:p>
    <w:p>
      <w:pPr>
        <w:spacing w:after="0" w:line="169" w:lineRule="exact"/>
        <w:rPr>
          <w:sz w:val="20"/>
          <w:szCs w:val="20"/>
          <w:color w:val="auto"/>
        </w:rPr>
      </w:pPr>
    </w:p>
    <w:p>
      <w:pPr>
        <w:ind w:right="1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2" w:lineRule="exact"/>
        <w:rPr>
          <w:sz w:val="20"/>
          <w:szCs w:val="20"/>
          <w:color w:val="auto"/>
        </w:rPr>
      </w:pPr>
    </w:p>
    <w:p>
      <w:pPr>
        <w:ind w:right="2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Expiration Date</w:t>
      </w:r>
      <w:r>
        <w:rPr>
          <w:rFonts w:ascii="Times New Roman" w:cs="Times New Roman" w:eastAsia="Times New Roman" w:hAnsi="Times New Roman"/>
          <w:sz w:val="20"/>
          <w:szCs w:val="20"/>
          <w:color w:val="auto"/>
        </w:rPr>
        <w:t>” means the day that is five (5) Business Days prior to the scheduled Maturity Date then in effect for the applicable Revolving Facility (or, if such day is not a Business Day, the next preceding Business Day).</w:t>
      </w:r>
    </w:p>
    <w:p>
      <w:pPr>
        <w:spacing w:after="0" w:line="152"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the maximum amount available to be drawn under such Letter of Credit (not to exceed the stated amount thereof in effect at such time, or, with respect to any Letter of Credit that, by its terms or the terms of any L/C Application related thereto, provides for one or more automatic increases in the stated amount thereof, the maximum stated amount of such Letter of Credit after giving effect to all such increases, whether or not such maximum stated amount is in effect at such time). For all purposes of this Agreement (but, if applicable, subject to the Master</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55" w:name="page156"/>
    <w:bookmarkEnd w:id="155"/>
    <w:p>
      <w:pPr>
        <w:ind w:right="180"/>
        <w:spacing w:after="0" w:line="249" w:lineRule="auto"/>
        <w:rPr>
          <w:sz w:val="20"/>
          <w:szCs w:val="20"/>
          <w:color w:val="auto"/>
        </w:rPr>
      </w:pPr>
      <w:r>
        <w:rPr>
          <w:rFonts w:ascii="Times New Roman" w:cs="Times New Roman" w:eastAsia="Times New Roman" w:hAnsi="Times New Roman"/>
          <w:sz w:val="20"/>
          <w:szCs w:val="20"/>
          <w:color w:val="auto"/>
        </w:rPr>
        <w:t>Agreement for Standby Letters of Credit and the Master Agreement for Documentary Letters of Credit), if on any date of determination a Letter of Credit has expired by its terms but any amount may still be drawn thereunder by reason of the operation of Rule 3.13 or Rule 3.14 of the ISP, article 29 of the Uniform Customs and Practice for Documentary Credits, International Chamber of Commerce publication no. 600, such Letter of Credit shall be deemed to be “outstanding” in the amount so remaining available to be drawn.</w:t>
      </w:r>
    </w:p>
    <w:p>
      <w:pPr>
        <w:spacing w:after="0" w:line="176" w:lineRule="exact"/>
        <w:rPr>
          <w:sz w:val="20"/>
          <w:szCs w:val="20"/>
          <w:color w:val="auto"/>
        </w:rPr>
      </w:pPr>
    </w:p>
    <w:p>
      <w:pPr>
        <w:ind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Sublimit</w:t>
      </w:r>
      <w:r>
        <w:rPr>
          <w:rFonts w:ascii="Times New Roman" w:cs="Times New Roman" w:eastAsia="Times New Roman" w:hAnsi="Times New Roman"/>
          <w:sz w:val="20"/>
          <w:szCs w:val="20"/>
          <w:color w:val="auto"/>
        </w:rPr>
        <w:t xml:space="preserve">” means an amount equal to the sum of (1) the lesser of (a) $15,000,000, as adjusted from time to time in accordance with Section‎ 2.14 and (b) the aggregate amount of the Revolving Commitments,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(2) the principal amount of Indebtedness in connection with commercial letters of credit incurred and outstanding under </w:t>
      </w:r>
      <w:r>
        <w:rPr>
          <w:rFonts w:ascii="Times New Roman" w:cs="Times New Roman" w:eastAsia="Times New Roman" w:hAnsi="Times New Roman"/>
          <w:sz w:val="20"/>
          <w:szCs w:val="20"/>
          <w:u w:val="single" w:color="auto"/>
          <w:color w:val="auto"/>
        </w:rPr>
        <w:t>Section 7.02(2)(b)</w:t>
      </w:r>
      <w:r>
        <w:rPr>
          <w:rFonts w:ascii="Times New Roman" w:cs="Times New Roman" w:eastAsia="Times New Roman" w:hAnsi="Times New Roman"/>
          <w:sz w:val="20"/>
          <w:szCs w:val="20"/>
          <w:color w:val="auto"/>
        </w:rPr>
        <w:t xml:space="preserve"> at such time. The L/C Sublimit is part of, and not in addition to, the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-325120</wp:posOffset>
            </wp:positionV>
            <wp:extent cx="6280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56" w:lineRule="exact"/>
        <w:rPr>
          <w:sz w:val="20"/>
          <w:szCs w:val="20"/>
          <w:color w:val="auto"/>
        </w:rPr>
      </w:pPr>
    </w:p>
    <w:p>
      <w:pPr>
        <w:ind w:right="4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Latest Maturity Date</w:t>
      </w:r>
      <w:r>
        <w:rPr>
          <w:rFonts w:ascii="Times New Roman" w:cs="Times New Roman" w:eastAsia="Times New Roman" w:hAnsi="Times New Roman"/>
          <w:sz w:val="20"/>
          <w:szCs w:val="20"/>
          <w:color w:val="auto"/>
        </w:rPr>
        <w:t>” means, at any date of determination, the latest maturity or expiration date applicable to any Loan or Commitment hereunder at such time, including the latest maturity or expiration date of any Incremental Loan, any Incremental Revolving Commitment, any Other Loan, any Other Revolving Commitments, any Replacement Loan, any Extended Term Loan or any Extended Revolving Commitment, in each case as extended in accordance with this Agreement from time to time.</w:t>
      </w:r>
    </w:p>
    <w:p>
      <w:pPr>
        <w:spacing w:after="0" w:line="176"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means, collectively, all international, foreign, federal, state and local laws (including common law), statutes, treaties, rules, legally binding guidelines, regulations, ordinances, codes and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LCT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LCT Test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Holiday</w:t>
      </w:r>
      <w:r>
        <w:rPr>
          <w:rFonts w:ascii="Times New Roman" w:cs="Times New Roman" w:eastAsia="Times New Roman" w:hAnsi="Times New Roman"/>
          <w:sz w:val="20"/>
          <w:szCs w:val="20"/>
          <w:color w:val="auto"/>
        </w:rPr>
        <w:t>” means Saturday, Sunday or a day on which commercial banking institutions are not required to be open in the State of New York or at the place of payment.</w:t>
      </w:r>
    </w:p>
    <w:p>
      <w:pPr>
        <w:spacing w:after="0" w:line="152" w:lineRule="exact"/>
        <w:rPr>
          <w:sz w:val="20"/>
          <w:szCs w:val="20"/>
          <w:color w:val="auto"/>
        </w:rPr>
      </w:pPr>
    </w:p>
    <w:p>
      <w:pPr>
        <w:ind w:right="20"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xml:space="preserve">” has the meaning specified in the introductory paragraph to this Agreement and, as context requires (including for purposes of the definition of “Secured Parties” and for purposes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includes any Issuing Bank, Swing Line Lender and their respective successors and assigns as permitted hereunder, each of which is referred to herein as a “Lender.” For the avoidance of doubt, each Additional Lender is a Lender to the extent any such Person has executed and delivered a Refinancing Amendment, an Incremental Amendment or an amendment in respect of Replacement Loans, as the case may be, and to the extent such Refinancing Amendment, Incremental Amendment or amendment in respect of Replacement Loans shall have become effective in accordance with the terms hereof and thereof, and each Extending Lender shall continue to be a Lender. As of the Closing Date,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sets forth the name of each Lender. Notwithstanding the foregoing, no Disqualified Institution that purports to become a Lender hereunder (notwithstanding the provisions of this Agreement that prohibit Disqualified Institutions from becoming Lenders) without the Borrower’s written consent shall be entitled to any of the rights or privileges enjoyed by the other Lenders with respect to voting, information and lender meetings;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Loans of any such Disqualified Institution shall not be excluded for purposes of making a determination of Required Lenders if the action in question affects such Disqualified Institution in a disproportionately adverse manner than its effect on the other Lenders;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if any assignment or participation is made to any Disqualified Institution without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6" w:name="page157"/>
    <w:bookmarkEnd w:id="156"/>
    <w:p>
      <w:pPr>
        <w:ind w:right="20"/>
        <w:spacing w:after="0" w:line="254" w:lineRule="auto"/>
        <w:rPr>
          <w:sz w:val="20"/>
          <w:szCs w:val="20"/>
          <w:color w:val="auto"/>
        </w:rPr>
      </w:pPr>
      <w:r>
        <w:rPr>
          <w:rFonts w:ascii="Times New Roman" w:cs="Times New Roman" w:eastAsia="Times New Roman" w:hAnsi="Times New Roman"/>
          <w:sz w:val="19"/>
          <w:szCs w:val="19"/>
          <w:color w:val="auto"/>
        </w:rPr>
        <w:t xml:space="preserve">the Borrower’s prior written consent in violation of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10.07(2)</w:t>
      </w:r>
      <w:r>
        <w:rPr>
          <w:rFonts w:ascii="Times New Roman" w:cs="Times New Roman" w:eastAsia="Times New Roman" w:hAnsi="Times New Roman"/>
          <w:sz w:val="19"/>
          <w:szCs w:val="19"/>
          <w:color w:val="auto"/>
        </w:rPr>
        <w:t xml:space="preserve"> the Borrower may, at its sole expense and effort, upon notice to the applicable Disqualified Institution and the Administrative Agent, (1) terminate any Revolving Commitment of such Disqualified Institution and repay all obligations of the Borrower owing to such Disqualified Institution in connection with such Revolving Commitment by paying the lesser of (a) the principal amount thereof and (b) the amount that such Disqualified Institution paid to acquire such obligations owing in respect of such Revolving Commitment, in each case plus accrued interest, accrued fees and all other amounts (other than principal amounts) payable to it hereunder, (2) in the case of outstanding Term Loans held by Disqualified Institutions, purchase or prepay such Term Loan by paying the lesser of (a) the principal amount thereof and (b) the amount that such Disqualified Institution paid to acquire such Term Loans, in each case plus accrued interest, accrued fees and all other amounts (other than principal amounts) payable to it hereunder and/or (3) require such Disqualified Institution to assign, without recourse (in accordance with and subject to the restrictions contained in </w:t>
      </w:r>
      <w:r>
        <w:rPr>
          <w:rFonts w:ascii="Times New Roman" w:cs="Times New Roman" w:eastAsia="Times New Roman" w:hAnsi="Times New Roman"/>
          <w:sz w:val="19"/>
          <w:szCs w:val="19"/>
          <w:u w:val="single" w:color="auto"/>
          <w:color w:val="auto"/>
        </w:rPr>
        <w:t>Section</w:t>
      </w:r>
    </w:p>
    <w:p>
      <w:pPr>
        <w:spacing w:after="0" w:line="7"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20"/>
          <w:szCs w:val="20"/>
          <w:u w:val="single" w:color="auto"/>
          <w:color w:val="auto"/>
        </w:rPr>
        <w:t>10.07</w:t>
      </w:r>
      <w:r>
        <w:rPr>
          <w:rFonts w:ascii="Times New Roman" w:cs="Times New Roman" w:eastAsia="Times New Roman" w:hAnsi="Times New Roman"/>
          <w:sz w:val="20"/>
          <w:szCs w:val="20"/>
          <w:color w:val="auto"/>
        </w:rPr>
        <w:t>), all of its interest, rights and obligations under this Agreement to one or more Eligible Assignees at the lesser of (a) the principal amount thereof and (b) the amount that such Disqualified Institution paid to acquire such interests, rights and obligations, in each case plus accrued interest, accrued fees and all other amounts (other than principal amounts) payable to it hereunder.</w:t>
      </w:r>
    </w:p>
    <w:p>
      <w:pPr>
        <w:spacing w:after="0" w:line="183"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Lender-Related Distress Event</w:t>
      </w:r>
      <w:r>
        <w:rPr>
          <w:rFonts w:ascii="Times New Roman" w:cs="Times New Roman" w:eastAsia="Times New Roman" w:hAnsi="Times New Roman"/>
          <w:sz w:val="20"/>
          <w:szCs w:val="20"/>
          <w:color w:val="auto"/>
        </w:rPr>
        <w:t>” means, with respect to any Lender or any direct or indirect parent company of such Lender (each, a “</w:t>
      </w:r>
      <w:r>
        <w:rPr>
          <w:rFonts w:ascii="Times New Roman" w:cs="Times New Roman" w:eastAsia="Times New Roman" w:hAnsi="Times New Roman"/>
          <w:sz w:val="20"/>
          <w:szCs w:val="20"/>
          <w:b w:val="1"/>
          <w:bCs w:val="1"/>
          <w:color w:val="auto"/>
        </w:rPr>
        <w:t>Distressed Person</w:t>
      </w:r>
      <w:r>
        <w:rPr>
          <w:rFonts w:ascii="Times New Roman" w:cs="Times New Roman" w:eastAsia="Times New Roman" w:hAnsi="Times New Roman"/>
          <w:sz w:val="20"/>
          <w:szCs w:val="20"/>
          <w:color w:val="auto"/>
        </w:rPr>
        <w:t xml:space="preserve">”), (1) that such Distressed Person is or becomes subject to a voluntary or involuntary case under any Debtor Relief Law, (2) a custodian, conservator, receiver or similar official is appointed for such Distressed Person or any substantial part of such Distressed Person’s assets, (3) such Distressed Person is subject to a forced liquidation, makes a general assignment for the benefit of creditors or is otherwise adjudicated as, or determined by any Governmental Authority having regulatory authority over such Distressed Person or its assets to be, insolvent or bankrupt or (4) that such Distressed Person becomes the subject of a Bail-in Action or other similar proceeding (including a proceeding under a U.S. Special Resolution Regime);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Lender-Related Distress Event shall not be deemed to have occurred solely by virtue of the ownership or acquisition of any Equity Interests in any Lender or any direct or indirect parent company of a Lender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87" w:lineRule="exact"/>
        <w:rPr>
          <w:sz w:val="20"/>
          <w:szCs w:val="20"/>
          <w:color w:val="auto"/>
        </w:rPr>
      </w:pPr>
    </w:p>
    <w:p>
      <w:pPr>
        <w:ind w:right="1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means any letter of credit, letter of guarantee or bankers’ acceptance issued hereunder.</w:t>
      </w:r>
    </w:p>
    <w:p>
      <w:pPr>
        <w:spacing w:after="0" w:line="216" w:lineRule="exact"/>
        <w:rPr>
          <w:sz w:val="20"/>
          <w:szCs w:val="20"/>
          <w:color w:val="auto"/>
        </w:rPr>
      </w:pPr>
    </w:p>
    <w:p>
      <w:pPr>
        <w:ind w:right="8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xml:space="preserve">” means, with respect to any asset, any mortgage, lien (statutory or otherwise), pledge, hypothecation,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will an operating lease be deemed to constitute a Lien.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LifeStance Health Holdings, Inc.</w:t>
      </w:r>
      <w:r>
        <w:rPr>
          <w:rFonts w:ascii="Times New Roman" w:cs="Times New Roman" w:eastAsia="Times New Roman" w:hAnsi="Times New Roman"/>
          <w:sz w:val="20"/>
          <w:szCs w:val="20"/>
          <w:color w:val="auto"/>
        </w:rPr>
        <w:t>” means LifeStance Health Holdings, Inc., a Delaware corporation.</w:t>
      </w:r>
    </w:p>
    <w:p>
      <w:pPr>
        <w:spacing w:after="0" w:line="216" w:lineRule="exact"/>
        <w:rPr>
          <w:sz w:val="20"/>
          <w:szCs w:val="20"/>
          <w:color w:val="auto"/>
        </w:rPr>
      </w:pPr>
    </w:p>
    <w:p>
      <w:pPr>
        <w:ind w:right="160"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Limited Condition Transactions</w:t>
      </w:r>
      <w:r>
        <w:rPr>
          <w:rFonts w:ascii="Times New Roman" w:cs="Times New Roman" w:eastAsia="Times New Roman" w:hAnsi="Times New Roman"/>
          <w:sz w:val="20"/>
          <w:szCs w:val="20"/>
          <w:color w:val="auto"/>
        </w:rPr>
        <w:t>” means (1) any Permitted Acquisition or other Investment (whether by merger, amalgamation, consolidation or other business combination or the acquisition of Capital Stock or otherwise) permitted hereunder by the Borrower or one or more of its Restricted Subsidiaries (or any Affiliated Practice of the Borrower or one or more of its Restricted Subsidiaries) (including any transaction resulting in a Person becoming an Affiliated Practice or a Subsidiary of an Affiliated Practice), (2) any redemption, repurchase, defeasance, satisfaction and discharge or repayment of Indebtedness requiring irrevocable notice in advance thereof (which notice, for the avoidance of doubt, may be conditioned upon the occurrence of refinancing or any other transaction), (3) any Restricted Payment requiring irrevocable notice in advance thereof and (4) any Asset Sale or other disposition permitted hereunder by the Borrower or one or more of its Restricted Subsidiaries that is subject to the condition that no Event of Default shall have occurred and be continuing.</w:t>
      </w:r>
    </w:p>
    <w:p>
      <w:pPr>
        <w:spacing w:after="0" w:line="186" w:lineRule="exact"/>
        <w:rPr>
          <w:sz w:val="20"/>
          <w:szCs w:val="20"/>
          <w:color w:val="auto"/>
        </w:rPr>
      </w:pPr>
    </w:p>
    <w:p>
      <w:pPr>
        <w:ind w:right="1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means an extension of credit under Article II by a Lender (1) to the Borrower in the form of a Term Loan, (2) to the Borrower in the form of a Revolving Loan or (3) to the Borrower in the form of a Swing Line Loan.</w:t>
      </w:r>
    </w:p>
    <w:p>
      <w:pPr>
        <w:spacing w:after="0" w:line="152"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means, collectively, (1) this Agreement, (2) the Notes, (3) any Refinancing Amendment, Incremental Amendment, Extension Amendment or amendment in respect of Replacement Loans, (4) the Guaranty, (5) the Collateral Documents, (6) the Intercreditor Agreements, (7) the Master Agreement for Standby Letters of Credit and the Master Agreement for Documentary Letters of Credit, (8) the Fee Letter and (9) any other agreement entered into by the Borrower or any other Loan Party in connection with the foregoing to the extent such agreement states that it is a Loan Document.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Increase</w:t>
      </w:r>
      <w:r>
        <w:rPr>
          <w:rFonts w:ascii="Times New Roman" w:cs="Times New Roman" w:eastAsia="Times New Roman" w:hAnsi="Times New Roman"/>
          <w:sz w:val="20"/>
          <w:szCs w:val="20"/>
          <w:color w:val="auto"/>
        </w:rPr>
        <w:t>” means a Term Loan Increase or Revolving Commitment Increase.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Parties</w:t>
      </w:r>
      <w:r>
        <w:rPr>
          <w:rFonts w:ascii="Times New Roman" w:cs="Times New Roman" w:eastAsia="Times New Roman" w:hAnsi="Times New Roman"/>
          <w:sz w:val="20"/>
          <w:szCs w:val="20"/>
          <w:color w:val="auto"/>
        </w:rPr>
        <w:t>” means, collectively, (1) Holdings, (2) the Borrower and (3) each Subsidiary Guarantor.</w:t>
      </w:r>
    </w:p>
    <w:p>
      <w:pPr>
        <w:spacing w:after="0" w:line="216" w:lineRule="exact"/>
        <w:rPr>
          <w:sz w:val="20"/>
          <w:szCs w:val="20"/>
          <w:color w:val="auto"/>
        </w:rPr>
      </w:pPr>
    </w:p>
    <w:p>
      <w:pPr>
        <w:ind w:right="5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Services Agreement</w:t>
      </w:r>
      <w:r>
        <w:rPr>
          <w:rFonts w:ascii="Times New Roman" w:cs="Times New Roman" w:eastAsia="Times New Roman" w:hAnsi="Times New Roman"/>
          <w:sz w:val="20"/>
          <w:szCs w:val="20"/>
          <w:color w:val="auto"/>
        </w:rPr>
        <w:t>” means the management services agreement or similar agreements among the Investor or certain of the management companies associated with it or their respective advisors, if applicable, and the Borrower, any Restricted Subsidiary or any Parent Company.</w:t>
      </w:r>
    </w:p>
    <w:p>
      <w:pPr>
        <w:spacing w:after="0" w:line="169" w:lineRule="exact"/>
        <w:rPr>
          <w:sz w:val="20"/>
          <w:szCs w:val="20"/>
          <w:color w:val="auto"/>
        </w:rPr>
      </w:pPr>
    </w:p>
    <w:p>
      <w:pPr>
        <w:ind w:right="28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Management Stockholders</w:t>
      </w:r>
      <w:r>
        <w:rPr>
          <w:rFonts w:ascii="Times New Roman" w:cs="Times New Roman" w:eastAsia="Times New Roman" w:hAnsi="Times New Roman"/>
          <w:sz w:val="20"/>
          <w:szCs w:val="20"/>
          <w:color w:val="auto"/>
        </w:rPr>
        <w:t>” means the members of management (and their Controlled Investment Affiliates and Immediate Family Members and any permitted transferees thereof) of the Borrower (or a Parent Company or Affiliated Practice) who are holders of Equity Interests of any Parent Company.</w:t>
      </w:r>
    </w:p>
    <w:p>
      <w:pPr>
        <w:spacing w:after="0" w:line="169" w:lineRule="exact"/>
        <w:rPr>
          <w:sz w:val="20"/>
          <w:szCs w:val="20"/>
          <w:color w:val="auto"/>
        </w:rPr>
      </w:pPr>
    </w:p>
    <w:p>
      <w:pPr>
        <w:ind w:right="6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Margin Stock</w:t>
      </w:r>
      <w:r>
        <w:rPr>
          <w:rFonts w:ascii="Times New Roman" w:cs="Times New Roman" w:eastAsia="Times New Roman" w:hAnsi="Times New Roman"/>
          <w:sz w:val="20"/>
          <w:szCs w:val="20"/>
          <w:color w:val="auto"/>
        </w:rPr>
        <w:t>” has the meaning set forth in Regulation U of the Board of Governors of the United States Federal Reserve System, or any successor thereto.</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Master Agreement</w:t>
      </w:r>
      <w:r>
        <w:rPr>
          <w:rFonts w:ascii="Times New Roman" w:cs="Times New Roman" w:eastAsia="Times New Roman" w:hAnsi="Times New Roman"/>
          <w:sz w:val="20"/>
          <w:szCs w:val="20"/>
          <w:color w:val="auto"/>
        </w:rPr>
        <w:t>” has the meaning specified in the definition of “Hedge Agreement.”</w:t>
      </w:r>
    </w:p>
    <w:p>
      <w:pPr>
        <w:spacing w:after="0" w:line="216" w:lineRule="exact"/>
        <w:rPr>
          <w:sz w:val="20"/>
          <w:szCs w:val="20"/>
          <w:color w:val="auto"/>
        </w:rPr>
      </w:pPr>
    </w:p>
    <w:p>
      <w:pPr>
        <w:jc w:val="both"/>
        <w:ind w:right="46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Master Agreement for Documentary Letters of Credit</w:t>
      </w:r>
      <w:r>
        <w:rPr>
          <w:rFonts w:ascii="Times New Roman" w:cs="Times New Roman" w:eastAsia="Times New Roman" w:hAnsi="Times New Roman"/>
          <w:sz w:val="19"/>
          <w:szCs w:val="19"/>
          <w:color w:val="auto"/>
        </w:rPr>
        <w:t>” means that certain Master Agreement for Documentary Letters of Credit, dated as of the Closing Date between the Borrower on behalf of all Loan Parties and Capital One, as an Issuing Bank.</w:t>
      </w: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158" w:name="page159"/>
    <w:bookmarkEnd w:id="158"/>
    <w:p>
      <w:pPr>
        <w:ind w:right="20" w:firstLine="1497"/>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Master Agreement for Standby Letters of Credit</w:t>
      </w:r>
      <w:r>
        <w:rPr>
          <w:rFonts w:ascii="Times New Roman" w:cs="Times New Roman" w:eastAsia="Times New Roman" w:hAnsi="Times New Roman"/>
          <w:sz w:val="20"/>
          <w:szCs w:val="20"/>
          <w:color w:val="auto"/>
        </w:rPr>
        <w:t>” means that certain Master Agreement for Standby Letters of Credit, dated as of the Closing Date between the Borrower on behalf of all Loan Parties and Capital One, as an Issuing Bank.</w:t>
      </w:r>
    </w:p>
    <w:p>
      <w:pPr>
        <w:spacing w:after="0" w:line="138" w:lineRule="exact"/>
        <w:rPr>
          <w:sz w:val="20"/>
          <w:szCs w:val="20"/>
          <w:color w:val="auto"/>
        </w:rPr>
      </w:pPr>
    </w:p>
    <w:p>
      <w:pPr>
        <w:ind w:right="4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any event, circumstance or condition that has had a materially adverse effect on (a) the business, operations, assets or financial condition of the Borrower and its Subsidiaries, taken as a whole, (b) the ability of the Loan Parties (taken as a whole) to perform their payment obligations under the Loan Documents or (c) the rights and remedies of the Lenders, the Collateral Agent or the Administrative Agent under the Loan Documents.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Domestic Subsidiary</w:t>
      </w:r>
      <w:r>
        <w:rPr>
          <w:rFonts w:ascii="Times New Roman" w:cs="Times New Roman" w:eastAsia="Times New Roman" w:hAnsi="Times New Roman"/>
          <w:sz w:val="20"/>
          <w:szCs w:val="20"/>
          <w:color w:val="auto"/>
        </w:rPr>
        <w:t>” means any Domestic Subsidiary that is a Material Subsidiary.</w:t>
      </w:r>
    </w:p>
    <w:p>
      <w:pPr>
        <w:spacing w:after="0" w:line="216" w:lineRule="exact"/>
        <w:rPr>
          <w:sz w:val="20"/>
          <w:szCs w:val="20"/>
          <w:color w:val="auto"/>
        </w:rPr>
      </w:pPr>
    </w:p>
    <w:p>
      <w:pPr>
        <w:ind w:right="6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Intellectual Property</w:t>
      </w:r>
      <w:r>
        <w:rPr>
          <w:rFonts w:ascii="Times New Roman" w:cs="Times New Roman" w:eastAsia="Times New Roman" w:hAnsi="Times New Roman"/>
          <w:sz w:val="20"/>
          <w:szCs w:val="20"/>
          <w:color w:val="auto"/>
        </w:rPr>
        <w:t>” means any IP Rights material to the business of the Borrower and the Restricted Subsidiaries, taken as a whole.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Foreign Subsidiary</w:t>
      </w:r>
      <w:r>
        <w:rPr>
          <w:rFonts w:ascii="Times New Roman" w:cs="Times New Roman" w:eastAsia="Times New Roman" w:hAnsi="Times New Roman"/>
          <w:sz w:val="20"/>
          <w:szCs w:val="20"/>
          <w:color w:val="auto"/>
        </w:rPr>
        <w:t>” means any Foreign Subsidiary that is a Material Subsidiary.</w:t>
      </w:r>
    </w:p>
    <w:p>
      <w:pPr>
        <w:spacing w:after="0" w:line="216" w:lineRule="exact"/>
        <w:rPr>
          <w:sz w:val="20"/>
          <w:szCs w:val="20"/>
          <w:color w:val="auto"/>
        </w:rPr>
      </w:pPr>
    </w:p>
    <w:p>
      <w:pPr>
        <w:ind w:right="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Real Property</w:t>
      </w:r>
      <w:r>
        <w:rPr>
          <w:rFonts w:ascii="Times New Roman" w:cs="Times New Roman" w:eastAsia="Times New Roman" w:hAnsi="Times New Roman"/>
          <w:sz w:val="20"/>
          <w:szCs w:val="20"/>
          <w:color w:val="auto"/>
        </w:rPr>
        <w:t>” means any fee-owned real property located in the United States and owned by any Loan Party and not constituting an Excluded Asset pursuant to clause (1)(a) of the definition thereof.</w:t>
      </w:r>
    </w:p>
    <w:p>
      <w:pPr>
        <w:spacing w:after="0" w:line="152"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Subsidiary</w:t>
      </w:r>
      <w:r>
        <w:rPr>
          <w:rFonts w:ascii="Times New Roman" w:cs="Times New Roman" w:eastAsia="Times New Roman" w:hAnsi="Times New Roman"/>
          <w:sz w:val="19"/>
          <w:szCs w:val="19"/>
          <w:color w:val="auto"/>
        </w:rPr>
        <w:t xml:space="preserve">” means, as of the Closing Date and thereafter at any date of determination, each Restricted Subsidiary of the Borrower (1) whose total assets at the last day of the most recent Test Period (when taken together with the total assets of the Restricted Subsidiaries of such Subsidiary at the last day of the most recent Test Period) were equal to or greater than 5.0% of Total Assets at such date or (2) whose gross revenues for such Test Period (when taken together with the gross revenues of the Restricted Subsidiaries of such Subsidiary for such Test Period) were equal to or greater than 5.0% of the consolidated gross revenues of the Borrower and the Restricted Subsidiaries for such Test Period, in each case determined in accordance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at any time and from time to time after the date which is 30 days after the Closing Date (or such longer period as the Administrative Agent may agree in its reasonable discretion), all Restricted Subsidiaries that are not Guarantors solely because they do not meet the thresholds set forth in the preceding </w:t>
      </w:r>
      <w:r>
        <w:rPr>
          <w:rFonts w:ascii="Times New Roman" w:cs="Times New Roman" w:eastAsia="Times New Roman" w:hAnsi="Times New Roman"/>
          <w:sz w:val="19"/>
          <w:szCs w:val="19"/>
          <w:u w:val="single" w:color="auto"/>
          <w:color w:val="auto"/>
        </w:rPr>
        <w:t>clause (1)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w:t>
      </w:r>
      <w:r>
        <w:rPr>
          <w:rFonts w:ascii="Times New Roman" w:cs="Times New Roman" w:eastAsia="Times New Roman" w:hAnsi="Times New Roman"/>
          <w:sz w:val="19"/>
          <w:szCs w:val="19"/>
          <w:color w:val="auto"/>
        </w:rPr>
        <w:t xml:space="preserve"> comprise in the aggregate more than (when taken together with the total assets of the Restricted Subsidiaries of such Subsidiaries at the last day of the most recent Test Period) 7.5% of Total Assets as of the last day of the most recent Test Period or more than (when taken together with the gross revenues of the Restricted Subsidiaries of such Subsidiaries for such Test Period) 7.5% of the consolidated gross revenues of the Borrower and the Restricted Subsidiaries for such Test Period, then the Borrower shall, not later than sixty</w:t>
      </w:r>
    </w:p>
    <w:p>
      <w:pPr>
        <w:spacing w:after="0" w:line="5" w:lineRule="exact"/>
        <w:rPr>
          <w:sz w:val="20"/>
          <w:szCs w:val="20"/>
          <w:color w:val="auto"/>
        </w:rPr>
      </w:pPr>
    </w:p>
    <w:p>
      <w:pPr>
        <w:ind w:firstLine="8"/>
        <w:spacing w:after="0"/>
        <w:tabs>
          <w:tab w:leader="none" w:pos="37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the date by which financial statements for such Test Period were required to be delivered pursuant to this Agreement (or such longer period as the Administrative Agent may agree in its reasonable discretion), (a) designate in writing to the Administrative Agent one or more Restricted Subsidiaries as “Material Subsidiaries” to the extent required such that the foregoing condition ceases to be true and (b) comply with the provisions of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with respect to any such Restricted Subsidiaries (to the extent applicable), in each case, other than any Restricted Subsidiaries that otherwise constitute Excluded Subsidiaries. At all times prior to the delivery of the aforementioned financial statements, such determinations shall be made based on the Historical Quarterly Financial Statements (as adjusted by the Borrower (in its good faith judgment) on a pro forma basis to give effect to the Transactions as if the Transactions had occurred at the beginning of such period).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59" w:name="page160"/>
    <w:bookmarkEnd w:id="159"/>
    <w:p>
      <w:pPr>
        <w:jc w:val="both"/>
        <w:ind w:firstLine="1497"/>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Maturity Date</w:t>
      </w:r>
      <w:r>
        <w:rPr>
          <w:rFonts w:ascii="Times New Roman" w:cs="Times New Roman" w:eastAsia="Times New Roman" w:hAnsi="Times New Roman"/>
          <w:sz w:val="19"/>
          <w:szCs w:val="19"/>
          <w:color w:val="auto"/>
        </w:rPr>
        <w:t xml:space="preserve">” means (1) with respect to the Closing Date Term Loans that have not been extended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December 19, 2029 (the “</w:t>
      </w:r>
      <w:r>
        <w:rPr>
          <w:rFonts w:ascii="Times New Roman" w:cs="Times New Roman" w:eastAsia="Times New Roman" w:hAnsi="Times New Roman"/>
          <w:sz w:val="19"/>
          <w:szCs w:val="19"/>
          <w:b w:val="1"/>
          <w:bCs w:val="1"/>
          <w:color w:val="auto"/>
        </w:rPr>
        <w:t>Original Term Loan Maturity Date</w:t>
      </w:r>
      <w:r>
        <w:rPr>
          <w:rFonts w:ascii="Times New Roman" w:cs="Times New Roman" w:eastAsia="Times New Roman" w:hAnsi="Times New Roman"/>
          <w:sz w:val="19"/>
          <w:szCs w:val="19"/>
          <w:color w:val="auto"/>
        </w:rPr>
        <w:t xml:space="preserve">”), (2) with respect to the Closing Date Revolving Facility, to the extent not extended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December 19, 2029 (the “</w:t>
      </w:r>
      <w:r>
        <w:rPr>
          <w:rFonts w:ascii="Times New Roman" w:cs="Times New Roman" w:eastAsia="Times New Roman" w:hAnsi="Times New Roman"/>
          <w:sz w:val="19"/>
          <w:szCs w:val="19"/>
          <w:b w:val="1"/>
          <w:bCs w:val="1"/>
          <w:color w:val="auto"/>
        </w:rPr>
        <w:t>Original Revolving Facility Maturity Date</w:t>
      </w:r>
      <w:r>
        <w:rPr>
          <w:rFonts w:ascii="Times New Roman" w:cs="Times New Roman" w:eastAsia="Times New Roman" w:hAnsi="Times New Roman"/>
          <w:sz w:val="19"/>
          <w:szCs w:val="19"/>
          <w:color w:val="auto"/>
        </w:rPr>
        <w:t>”), (3) with respect to any Class of Extended Term Loans or Extended Revolving Commitments, the final maturity date as specified in the applicable Extension Amendment,</w:t>
      </w:r>
    </w:p>
    <w:p>
      <w:pPr>
        <w:spacing w:after="0" w:line="1" w:lineRule="exact"/>
        <w:rPr>
          <w:sz w:val="20"/>
          <w:szCs w:val="20"/>
          <w:color w:val="auto"/>
        </w:rPr>
      </w:pPr>
    </w:p>
    <w:p>
      <w:pPr>
        <w:ind w:firstLine="8"/>
        <w:spacing w:after="0" w:line="241" w:lineRule="auto"/>
        <w:tabs>
          <w:tab w:leader="none" w:pos="2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Other Term Loans or Other Revolving Commitments, the final maturity date as specified in the applicable Refinancing Amendment, (5) with respect to any Class of Replacement Loans, the final maturity date as specified in the applicable amendment to this Agreement in respect of such Replacement Loans and (6) with respect to any Incremental Loans or Incremental Revolving Commitments, the final maturity date as specified in the applicable Incremental Amendment;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each case, that if such day is not a Business Day, the applicable Maturity Date shall be the Business Day immediately succeeding such day.</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Medicare and Medicaid Programs</w:t>
      </w:r>
      <w:r>
        <w:rPr>
          <w:rFonts w:ascii="Times New Roman" w:cs="Times New Roman" w:eastAsia="Times New Roman" w:hAnsi="Times New Roman"/>
          <w:sz w:val="20"/>
          <w:szCs w:val="20"/>
          <w:color w:val="auto"/>
        </w:rPr>
        <w:t>” means the programs established under Title XVIII and XIX of the Social Security Act and any successor programs performing similar functions.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Moody’s</w:t>
      </w:r>
      <w:r>
        <w:rPr>
          <w:rFonts w:ascii="Times New Roman" w:cs="Times New Roman" w:eastAsia="Times New Roman" w:hAnsi="Times New Roman"/>
          <w:sz w:val="20"/>
          <w:szCs w:val="20"/>
          <w:color w:val="auto"/>
        </w:rPr>
        <w:t>” means Moody’s Investors Service, Inc. and any successor to its rating agency business.</w:t>
      </w:r>
    </w:p>
    <w:p>
      <w:pPr>
        <w:spacing w:after="0" w:line="216" w:lineRule="exact"/>
        <w:rPr>
          <w:sz w:val="20"/>
          <w:szCs w:val="20"/>
          <w:color w:val="auto"/>
        </w:rPr>
      </w:pPr>
    </w:p>
    <w:p>
      <w:pPr>
        <w:ind w:right="6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w:t>
      </w:r>
      <w:r>
        <w:rPr>
          <w:rFonts w:ascii="Times New Roman" w:cs="Times New Roman" w:eastAsia="Times New Roman" w:hAnsi="Times New Roman"/>
          <w:sz w:val="20"/>
          <w:szCs w:val="20"/>
          <w:color w:val="auto"/>
        </w:rPr>
        <w:t>” means a mortgage customary in the jurisdiction to which it is to be filed in form and substance reasonably acceptable to the Administrative Agent and the Borrower, in each case with such modifications thereto as the Administrative Agent and the Borrower may agree, in each case, including such modifications as may be required by local laws, pursuant to Section 6.13(2), and any other deeds of trust, trust deeds, hypothecs, deeds to secure debt or mortgages executed and delivered pursuant to Section 6.11.</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 Policies</w:t>
      </w:r>
      <w:r>
        <w:rPr>
          <w:rFonts w:ascii="Times New Roman" w:cs="Times New Roman" w:eastAsia="Times New Roman" w:hAnsi="Times New Roman"/>
          <w:sz w:val="20"/>
          <w:szCs w:val="20"/>
          <w:color w:val="auto"/>
        </w:rPr>
        <w:t>” has the meaning specified in Section 6.11(2)(b)(ii).</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Mortgaged Properties</w:t>
      </w:r>
      <w:r>
        <w:rPr>
          <w:rFonts w:ascii="Times New Roman" w:cs="Times New Roman" w:eastAsia="Times New Roman" w:hAnsi="Times New Roman"/>
          <w:sz w:val="20"/>
          <w:szCs w:val="20"/>
          <w:color w:val="auto"/>
        </w:rPr>
        <w:t>” has the meaning specified in paragraph (5) of the definition of “Collateral and Guarantee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Requirement”.</w:t>
      </w:r>
    </w:p>
    <w:p>
      <w:pPr>
        <w:spacing w:after="0" w:line="190" w:lineRule="exact"/>
        <w:rPr>
          <w:sz w:val="20"/>
          <w:szCs w:val="20"/>
          <w:color w:val="auto"/>
        </w:rPr>
      </w:pPr>
    </w:p>
    <w:p>
      <w:pPr>
        <w:ind w:right="8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any multiemployer plan as defined in Section 4001(a)(3) of ERISA and subject to Title IV of ERISA, to which any Borrower, Holdings or any of their respective ERISA Affiliates makes or is obligated to make contributions, or during the preceding five plan years, has made or been obligated to make contributions for which any obligation or liability remains outstanding.</w:t>
      </w:r>
    </w:p>
    <w:p>
      <w:pPr>
        <w:spacing w:after="0" w:line="176" w:lineRule="exact"/>
        <w:rPr>
          <w:sz w:val="20"/>
          <w:szCs w:val="20"/>
          <w:color w:val="auto"/>
        </w:rPr>
      </w:pPr>
    </w:p>
    <w:p>
      <w:pPr>
        <w:ind w:right="3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Income</w:t>
      </w:r>
      <w:r>
        <w:rPr>
          <w:rFonts w:ascii="Times New Roman" w:cs="Times New Roman" w:eastAsia="Times New Roman" w:hAnsi="Times New Roman"/>
          <w:sz w:val="20"/>
          <w:szCs w:val="20"/>
          <w:color w:val="auto"/>
        </w:rPr>
        <w:t>” means, with respect to any Person, the net income (loss) of such Person, determined in accordance with GAAP and before any reduction in respect of Preferred Stock dividends.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Proceeds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60" w:right="180" w:firstLine="745"/>
        <w:spacing w:after="0" w:line="260" w:lineRule="auto"/>
        <w:tabs>
          <w:tab w:leader="none" w:pos="1904"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Asset Sale or any Casualty Event, the aggregate cash and Cash Equivalents received by the Borrower or any Restricted Subsidiary in respect of such Asset Sale or Casualty Event, including any cash and Cash Equivalents received upon the sale or other disposition of any Designated Non-Cash Consideration received in any Asset Sale, net of the costs relating to such Asset Sale or Casualty Event and the sale or disposition of such Designated Non-Cash Consideration, including legal, accounting and investment banking fees, payments made in order to obtain a necessary consent or required by applicable Law, brokerage and sales commissions, title insurance premiums, related search and recording charges, survey costs and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60" w:name="page161"/>
    <w:bookmarkEnd w:id="160"/>
    <w:p>
      <w:pPr>
        <w:ind w:left="760"/>
        <w:spacing w:after="0" w:line="241" w:lineRule="auto"/>
        <w:rPr>
          <w:sz w:val="20"/>
          <w:szCs w:val="20"/>
          <w:color w:val="auto"/>
        </w:rPr>
      </w:pPr>
      <w:r>
        <w:rPr>
          <w:rFonts w:ascii="Times New Roman" w:cs="Times New Roman" w:eastAsia="Times New Roman" w:hAnsi="Times New Roman"/>
          <w:sz w:val="20"/>
          <w:szCs w:val="20"/>
          <w:color w:val="auto"/>
        </w:rPr>
        <w:t xml:space="preserve">mortgage recording tax paid in connection therewith, all dividends, distributions or other payments required to be made to minority interest holders in Restricted Subsidiaries as a result of any such Asset Sale or Casualty Event by a Restricted Subsidiary, the amount of any purchase price or similar adjustment claimed by any Person to be owed by the Borrower or any Restricted Subsidiary, until such time as such claim will have been settled or otherwise finally resolved, or paid or payable by the Borrower or any Restricted Subsidiary, in either case in respect of such Asset Sale or Casualty Event, any relocation expenses incurred as a result thereof, costs and expenses in connection with unwinding any Hedging Obligation in connection therewith, other fees and expenses, including title and recordation expenses, Taxes paid or reasonably estimated to be payable (including any additional distributions with respect to Taxes pursuant to </w:t>
      </w:r>
      <w:r>
        <w:rPr>
          <w:rFonts w:ascii="Times New Roman" w:cs="Times New Roman" w:eastAsia="Times New Roman" w:hAnsi="Times New Roman"/>
          <w:sz w:val="20"/>
          <w:szCs w:val="20"/>
          <w:u w:val="single" w:color="auto"/>
          <w:color w:val="auto"/>
        </w:rPr>
        <w:t>Section 7.05(2)(n)</w:t>
      </w:r>
      <w:r>
        <w:rPr>
          <w:rFonts w:ascii="Times New Roman" w:cs="Times New Roman" w:eastAsia="Times New Roman" w:hAnsi="Times New Roman"/>
          <w:sz w:val="20"/>
          <w:szCs w:val="20"/>
          <w:color w:val="auto"/>
        </w:rPr>
        <w:t xml:space="preserve"> to be made as a result of the transactions giving rise to such cash and Cash Equivalents received) as a result thereof or any transactions occurring or deemed to occur to effectuate a payment under this Agreement, amounts required to be applied to the repayment of principal, premium, if any, and interest on Indebtedness (other than the First Lien Obligations and Indebtedness secured by Liens that are expressly subordinated to the Liens securing the Obligations) secured by a Lien on such assets and required to be paid as a result of such transaction and any deduction of appropriate amounts to be provided by the Borrower or any Restricted Subsidiary as a reserve in accordance with GAAP against any liabilities associated with the asset disposed of in such transaction and retained by the Borrower or any Restricted Subsidiary after such sale or other disposition thereof, including pension and other post-employment benefit liabilities and liabilities related to environmental matters or against any indemnification obligations associated with such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net cash proceeds calculated in accordance with the foregoing realized in a single transaction or series of related transactions shall constitute Net Proceeds unless such net cash proceeds shall exceed $10,000,000 (and only net cash proceeds in excess of such amount shall constitute Net Proceeds under this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and</w:t>
      </w:r>
    </w:p>
    <w:p>
      <w:pPr>
        <w:spacing w:after="0" w:line="189" w:lineRule="exact"/>
        <w:rPr>
          <w:sz w:val="20"/>
          <w:szCs w:val="20"/>
          <w:color w:val="auto"/>
        </w:rPr>
      </w:pPr>
    </w:p>
    <w:p>
      <w:pPr>
        <w:ind w:left="760" w:right="40" w:firstLine="745"/>
        <w:spacing w:after="0" w:line="243" w:lineRule="auto"/>
        <w:tabs>
          <w:tab w:leader="none" w:pos="190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with respect to the incurrence or issuance of any Indebtedness by the Borrower or any Restricted Subsidiary, any Permitted Equity Issuance by the Borrower or any Parent Company or any contribution to the common equity capital of the Borrower, the excess, if any, of (i) the sum of the cash and Cash Equivalents received in connection with such incurrence or issuance over (ii) all Taxes paid or reasonably estimated to be payable (including any additional distributions with respect to Taxes pursuant to </w:t>
      </w:r>
      <w:r>
        <w:rPr>
          <w:rFonts w:ascii="Times New Roman" w:cs="Times New Roman" w:eastAsia="Times New Roman" w:hAnsi="Times New Roman"/>
          <w:sz w:val="20"/>
          <w:szCs w:val="20"/>
          <w:u w:val="single" w:color="auto"/>
          <w:color w:val="auto"/>
        </w:rPr>
        <w:t>Section 7.05(2)(n)</w:t>
      </w:r>
      <w:r>
        <w:rPr>
          <w:rFonts w:ascii="Times New Roman" w:cs="Times New Roman" w:eastAsia="Times New Roman" w:hAnsi="Times New Roman"/>
          <w:sz w:val="20"/>
          <w:szCs w:val="20"/>
          <w:color w:val="auto"/>
        </w:rPr>
        <w:t xml:space="preserve"> to be made), and all fees (including investment banking fees, attorneys’ fees, accountants’ fees, underwriting fees and discounts), commissions, costs and other out-of-pocket expenses and other customary expenses incurred, in each case by the Borrower or such Restricted Subsidiary in connection with such incurrence or issuance and (b) with respect to any Permitted Equity Issuance by any Parent Company, the amount of cash from such Permitted Equity Issuance contributed to the capital of the Borrower.</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Proceeds Percentage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Short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10.01(1)(VII)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Non-Defaulting Lender</w:t>
      </w:r>
      <w:r>
        <w:rPr>
          <w:rFonts w:ascii="Times New Roman" w:cs="Times New Roman" w:eastAsia="Times New Roman" w:hAnsi="Times New Roman"/>
          <w:sz w:val="20"/>
          <w:szCs w:val="20"/>
          <w:color w:val="auto"/>
        </w:rPr>
        <w:t>” means, at any time, a Lender that is not a Defaulting Lender.</w:t>
      </w:r>
    </w:p>
    <w:p>
      <w:pPr>
        <w:spacing w:after="0" w:line="216" w:lineRule="exact"/>
        <w:rPr>
          <w:sz w:val="20"/>
          <w:szCs w:val="20"/>
          <w:color w:val="auto"/>
        </w:rPr>
      </w:pPr>
    </w:p>
    <w:p>
      <w:pPr>
        <w:ind w:right="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Non-Excluded Taxes</w:t>
      </w:r>
      <w:r>
        <w:rPr>
          <w:rFonts w:ascii="Times New Roman" w:cs="Times New Roman" w:eastAsia="Times New Roman" w:hAnsi="Times New Roman"/>
          <w:sz w:val="20"/>
          <w:szCs w:val="20"/>
          <w:color w:val="auto"/>
        </w:rPr>
        <w:t>” means all Taxes, other than Excluded Taxes and Other Taxes, imposed on or with respect to any payment made by or on account of any obligation of any Loan Party under any Loan Document.</w:t>
      </w: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61" w:name="page162"/>
    <w:bookmarkEnd w:id="161"/>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Non-Expiring Credit Commitment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Non-Finance Lease</w:t>
      </w:r>
      <w:r>
        <w:rPr>
          <w:rFonts w:ascii="Times New Roman" w:cs="Times New Roman" w:eastAsia="Times New Roman" w:hAnsi="Times New Roman"/>
          <w:sz w:val="20"/>
          <w:szCs w:val="20"/>
          <w:color w:val="auto"/>
        </w:rPr>
        <w:t>” means, as applied to any Person, any lease of any property (whether real, personal or mixed) by that Person as lessee that, in conformity with GAAP (for the avoidance of doubt, subject to Section 1.03(1)(y)), is not and is not required to be accounted for as a capital lease or finance lease on the balance sheet of that Person. For the avoidance of doubt, a straight-line or operating lease shall be considered a Non-Finance Lease.</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Non-Fixed Basket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Non-Recourse Indebtedness</w:t>
      </w:r>
      <w:r>
        <w:rPr>
          <w:rFonts w:ascii="Times New Roman" w:cs="Times New Roman" w:eastAsia="Times New Roman" w:hAnsi="Times New Roman"/>
          <w:sz w:val="20"/>
          <w:szCs w:val="20"/>
          <w:color w:val="auto"/>
        </w:rPr>
        <w:t>” means Indebtedness that is non-recourse to the Borrower and the Restricted Subsidiaries.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Non-Wholly Owned Subsidiary</w:t>
      </w:r>
      <w:r>
        <w:rPr>
          <w:rFonts w:ascii="Times New Roman" w:cs="Times New Roman" w:eastAsia="Times New Roman" w:hAnsi="Times New Roman"/>
          <w:sz w:val="20"/>
          <w:szCs w:val="20"/>
          <w:color w:val="auto"/>
        </w:rPr>
        <w:t>” shall mean any Subsidiary of any Person that does not constitute a wholly owned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means a Term Note, Revolving Note or Swing Line Note, as the context may require.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Intent to Cure</w:t>
      </w:r>
      <w:r>
        <w:rPr>
          <w:rFonts w:ascii="Times New Roman" w:cs="Times New Roman" w:eastAsia="Times New Roman" w:hAnsi="Times New Roman"/>
          <w:sz w:val="20"/>
          <w:szCs w:val="20"/>
          <w:color w:val="auto"/>
        </w:rPr>
        <w:t xml:space="preserve">” has the meaning specified </w:t>
      </w:r>
      <w:r>
        <w:rPr>
          <w:rFonts w:ascii="Times New Roman" w:cs="Times New Roman" w:eastAsia="Times New Roman" w:hAnsi="Times New Roman"/>
          <w:sz w:val="20"/>
          <w:szCs w:val="20"/>
          <w:u w:val="single" w:color="auto"/>
          <w:color w:val="auto"/>
        </w:rPr>
        <w:t>in Section 8.04(1)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all:</w:t>
      </w:r>
    </w:p>
    <w:p>
      <w:pPr>
        <w:spacing w:after="0" w:line="220" w:lineRule="exact"/>
        <w:rPr>
          <w:sz w:val="20"/>
          <w:szCs w:val="20"/>
          <w:color w:val="auto"/>
        </w:rPr>
      </w:pPr>
    </w:p>
    <w:p>
      <w:pPr>
        <w:ind w:left="760" w:right="60" w:firstLine="745"/>
        <w:spacing w:after="0" w:line="245"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and debts, liabilities, obligations, covenants and duties of, any Loan Party arising under any Loan Document or otherwise with respect to any Loan, Letter of Credit, whether direct or indirect (including those acquired by assumption), absolute or contingent, due or to become due, now existing or hereafter arising and including interest, fees, premiums and other amounts that accrue after the commencement by or against any Loan Party of any proceeding under any Debtor Relief Laws naming such Person as the debtor in such proceeding, regardless of whether such interest, fees and other amounts are allowed claims in such proceeding;</w:t>
      </w:r>
    </w:p>
    <w:p>
      <w:pPr>
        <w:spacing w:after="0" w:line="184" w:lineRule="exact"/>
        <w:rPr>
          <w:rFonts w:ascii="Times New Roman" w:cs="Times New Roman" w:eastAsia="Times New Roman" w:hAnsi="Times New Roman"/>
          <w:sz w:val="20"/>
          <w:szCs w:val="20"/>
          <w:color w:val="auto"/>
        </w:rPr>
      </w:pPr>
    </w:p>
    <w:p>
      <w:pPr>
        <w:ind w:left="760" w:right="360" w:firstLine="745"/>
        <w:spacing w:after="0" w:line="269"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(other than Excluded Swap Obligations) of any Loan Party or Restricted Subsidiary arising under any Secured Hedge Agreement; and</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46"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Management Obligations under each Secured Cash Management Agreement.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(including Letter of Credit fees), Attorney Costs, indemnities and other amounts payable by any Loan Party under any Loan Document.</w:t>
      </w:r>
    </w:p>
    <w:p>
      <w:pPr>
        <w:spacing w:after="0" w:line="185"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Notwithstanding the foregoing, (a) unless otherwise agreed to by the Borrower and any applicable Hedge Bank or Cash Management Bank, the obligations of Holdings, the Borrower or any Subsidiary under any Secured Hedge Agreement and under any Secured Cash Management Agreement shall be secured and guaranteed pursuant to the Collateral Documents and the Guaranty only to the extent that, and only for so long as, the other Obligations are so secured and guaranteed and (b) any release of Collateral or Guarantors effected in the manner permitted by this Agreement and any other Loan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2" w:name="page163"/>
    <w:bookmarkEnd w:id="162"/>
    <w:p>
      <w:pPr>
        <w:ind w:right="240"/>
        <w:spacing w:after="0" w:line="269" w:lineRule="auto"/>
        <w:rPr>
          <w:sz w:val="20"/>
          <w:szCs w:val="20"/>
          <w:color w:val="auto"/>
        </w:rPr>
      </w:pPr>
      <w:r>
        <w:rPr>
          <w:rFonts w:ascii="Times New Roman" w:cs="Times New Roman" w:eastAsia="Times New Roman" w:hAnsi="Times New Roman"/>
          <w:sz w:val="20"/>
          <w:szCs w:val="20"/>
          <w:color w:val="auto"/>
        </w:rPr>
        <w:t>Document shall not require the consent of the holders of Hedging Obligations under Secured Hedge Agreements or of the holders of Cash Management Obligations under Secured Cash Management Agreements.</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Offered Discount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w:t>
      </w:r>
      <w:r>
        <w:rPr>
          <w:rFonts w:ascii="Times New Roman" w:cs="Times New Roman" w:eastAsia="Times New Roman" w:hAnsi="Times New Roman"/>
          <w:sz w:val="20"/>
          <w:szCs w:val="20"/>
          <w:color w:val="auto"/>
        </w:rPr>
        <w:t>” means the Chairman of the Board of Directors, the Chief Executive Officer, the Chief Financial Officer, the Chief Operating Officer, the President, any Executive Vice President, Senior Vice President or Vice President, the Treasurer or the Secretary of a Borrower or any other Person, as the case may be.</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Officer’s Certificate</w:t>
      </w:r>
      <w:r>
        <w:rPr>
          <w:rFonts w:ascii="Times New Roman" w:cs="Times New Roman" w:eastAsia="Times New Roman" w:hAnsi="Times New Roman"/>
          <w:sz w:val="20"/>
          <w:szCs w:val="20"/>
          <w:color w:val="auto"/>
        </w:rPr>
        <w:t>” means a certificate signed on behalf of a Person by an Officer of such Person.</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OID</w:t>
      </w:r>
      <w:r>
        <w:rPr>
          <w:rFonts w:ascii="Times New Roman" w:cs="Times New Roman" w:eastAsia="Times New Roman" w:hAnsi="Times New Roman"/>
          <w:sz w:val="20"/>
          <w:szCs w:val="20"/>
          <w:color w:val="auto"/>
        </w:rPr>
        <w:t>” means original issue discount.</w:t>
      </w:r>
    </w:p>
    <w:p>
      <w:pPr>
        <w:spacing w:after="0" w:line="216" w:lineRule="exact"/>
        <w:rPr>
          <w:sz w:val="20"/>
          <w:szCs w:val="20"/>
          <w:color w:val="auto"/>
        </w:rPr>
      </w:pPr>
    </w:p>
    <w:p>
      <w:pPr>
        <w:ind w:right="28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Opinion of Counsel</w:t>
      </w:r>
      <w:r>
        <w:rPr>
          <w:rFonts w:ascii="Times New Roman" w:cs="Times New Roman" w:eastAsia="Times New Roman" w:hAnsi="Times New Roman"/>
          <w:sz w:val="19"/>
          <w:szCs w:val="19"/>
          <w:color w:val="auto"/>
        </w:rPr>
        <w:t>” means a written opinion from legal counsel who is reasonably acceptable to the Administrative Agent. Counsel may be an employee of or counsel to the Borrower if reasonably acceptable to the Administrative Agent.</w:t>
      </w:r>
    </w:p>
    <w:p>
      <w:pPr>
        <w:spacing w:after="0" w:line="129" w:lineRule="exact"/>
        <w:rPr>
          <w:sz w:val="20"/>
          <w:szCs w:val="20"/>
          <w:color w:val="auto"/>
        </w:rPr>
      </w:pPr>
    </w:p>
    <w:p>
      <w:pPr>
        <w:ind w:right="4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 of business</w:t>
      </w:r>
      <w:r>
        <w:rPr>
          <w:rFonts w:ascii="Times New Roman" w:cs="Times New Roman" w:eastAsia="Times New Roman" w:hAnsi="Times New Roman"/>
          <w:sz w:val="20"/>
          <w:szCs w:val="20"/>
          <w:color w:val="auto"/>
        </w:rPr>
        <w:t>” means activity conducted in the ordinary course of business of the Borrower and any Restricted Subsidiary.</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Organizational Documents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60" w:right="860" w:firstLine="745"/>
        <w:spacing w:after="0" w:line="269" w:lineRule="auto"/>
        <w:tabs>
          <w:tab w:leader="none" w:pos="190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corporation, the certificate or articles of incorporation and the bylaws (or equivalent or comparable constitutive documents with respect to any non-U.S. jurisdiction);</w:t>
      </w:r>
    </w:p>
    <w:p>
      <w:pPr>
        <w:spacing w:after="0" w:line="159" w:lineRule="exact"/>
        <w:rPr>
          <w:rFonts w:ascii="Times New Roman" w:cs="Times New Roman" w:eastAsia="Times New Roman" w:hAnsi="Times New Roman"/>
          <w:sz w:val="20"/>
          <w:szCs w:val="20"/>
          <w:color w:val="auto"/>
        </w:rPr>
      </w:pPr>
    </w:p>
    <w:p>
      <w:pPr>
        <w:ind w:left="760" w:right="280" w:firstLine="745"/>
        <w:spacing w:after="0" w:line="269" w:lineRule="auto"/>
        <w:tabs>
          <w:tab w:leader="none" w:pos="190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limited liability company, the certificate or articles of formation or organization and operating agreement; and</w:t>
      </w:r>
    </w:p>
    <w:p>
      <w:pPr>
        <w:spacing w:after="0" w:line="159" w:lineRule="exact"/>
        <w:rPr>
          <w:rFonts w:ascii="Times New Roman" w:cs="Times New Roman" w:eastAsia="Times New Roman" w:hAnsi="Times New Roman"/>
          <w:sz w:val="20"/>
          <w:szCs w:val="20"/>
          <w:color w:val="auto"/>
        </w:rPr>
      </w:pPr>
    </w:p>
    <w:p>
      <w:pPr>
        <w:ind w:left="760" w:firstLine="745"/>
        <w:spacing w:after="0" w:line="249" w:lineRule="auto"/>
        <w:tabs>
          <w:tab w:leader="none" w:pos="190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Original Revolving Facility Maturity Date</w:t>
      </w:r>
      <w:r>
        <w:rPr>
          <w:rFonts w:ascii="Times New Roman" w:cs="Times New Roman" w:eastAsia="Times New Roman" w:hAnsi="Times New Roman"/>
          <w:sz w:val="20"/>
          <w:szCs w:val="20"/>
          <w:color w:val="auto"/>
        </w:rPr>
        <w:t>” has the meaning specified in the definition of “Maturity Date.”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Original Term Loan Maturity Date</w:t>
      </w:r>
      <w:r>
        <w:rPr>
          <w:rFonts w:ascii="Times New Roman" w:cs="Times New Roman" w:eastAsia="Times New Roman" w:hAnsi="Times New Roman"/>
          <w:sz w:val="20"/>
          <w:szCs w:val="20"/>
          <w:color w:val="auto"/>
        </w:rPr>
        <w:t>” has the meaning specified in the definition of “Maturity Date.”</w:t>
      </w:r>
    </w:p>
    <w:p>
      <w:pPr>
        <w:spacing w:after="0" w:line="216" w:lineRule="exact"/>
        <w:rPr>
          <w:sz w:val="20"/>
          <w:szCs w:val="20"/>
          <w:color w:val="auto"/>
        </w:rPr>
      </w:pPr>
    </w:p>
    <w:p>
      <w:pPr>
        <w:ind w:right="6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Applicable Indebtedness</w:t>
      </w:r>
      <w:r>
        <w:rPr>
          <w:rFonts w:ascii="Times New Roman" w:cs="Times New Roman" w:eastAsia="Times New Roman" w:hAnsi="Times New Roman"/>
          <w:sz w:val="20"/>
          <w:szCs w:val="20"/>
          <w:color w:val="auto"/>
        </w:rPr>
        <w:t>” means Permitted Incremental Equivalent Debt, Credit Agreement Refinancing Indebtedness or any other Indebtedness secured on a pari passu basis with the</w:t>
      </w: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63" w:name="page164"/>
    <w:bookmarkEnd w:id="163"/>
    <w:p>
      <w:pPr>
        <w:ind w:right="820"/>
        <w:spacing w:after="0" w:line="269" w:lineRule="auto"/>
        <w:rPr>
          <w:sz w:val="20"/>
          <w:szCs w:val="20"/>
          <w:color w:val="auto"/>
        </w:rPr>
      </w:pPr>
      <w:r>
        <w:rPr>
          <w:rFonts w:ascii="Times New Roman" w:cs="Times New Roman" w:eastAsia="Times New Roman" w:hAnsi="Times New Roman"/>
          <w:sz w:val="20"/>
          <w:szCs w:val="20"/>
          <w:color w:val="auto"/>
        </w:rPr>
        <w:t>Obligations, together with Refinancing Indebtedness in respect of any of the foregoing that is secured on a pari passu basis with the Obligations (in each case without regard to the control of remedies).</w:t>
      </w:r>
    </w:p>
    <w:p>
      <w:pPr>
        <w:spacing w:after="0" w:line="155" w:lineRule="exact"/>
        <w:rPr>
          <w:sz w:val="20"/>
          <w:szCs w:val="20"/>
          <w:color w:val="auto"/>
        </w:rPr>
      </w:pPr>
    </w:p>
    <w:p>
      <w:pPr>
        <w:ind w:right="2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Applicable Net Proceeds</w:t>
      </w:r>
      <w:r>
        <w:rPr>
          <w:rFonts w:ascii="Times New Roman" w:cs="Times New Roman" w:eastAsia="Times New Roman" w:hAnsi="Times New Roman"/>
          <w:sz w:val="20"/>
          <w:szCs w:val="20"/>
          <w:color w:val="auto"/>
        </w:rPr>
        <w:t>” means Net Proceeds or a comparable measure as determined in accordance with the documentation governing Other Applicable Indebtedness.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Commitments</w:t>
      </w:r>
      <w:r>
        <w:rPr>
          <w:rFonts w:ascii="Times New Roman" w:cs="Times New Roman" w:eastAsia="Times New Roman" w:hAnsi="Times New Roman"/>
          <w:sz w:val="20"/>
          <w:szCs w:val="20"/>
          <w:color w:val="auto"/>
        </w:rPr>
        <w:t>” means Other Revolving Commitments and/or Other Term Loan Commitments.</w:t>
      </w:r>
    </w:p>
    <w:p>
      <w:pPr>
        <w:spacing w:after="0" w:line="216" w:lineRule="exact"/>
        <w:rPr>
          <w:sz w:val="20"/>
          <w:szCs w:val="20"/>
          <w:color w:val="auto"/>
        </w:rPr>
      </w:pPr>
    </w:p>
    <w:p>
      <w:pPr>
        <w:ind w:right="7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Loans</w:t>
      </w:r>
      <w:r>
        <w:rPr>
          <w:rFonts w:ascii="Times New Roman" w:cs="Times New Roman" w:eastAsia="Times New Roman" w:hAnsi="Times New Roman"/>
          <w:sz w:val="20"/>
          <w:szCs w:val="20"/>
          <w:color w:val="auto"/>
        </w:rPr>
        <w:t>” means one or more Classes of Other Revolving Loans and/or Other Term Loans that result from a Refinancing Amendment.</w:t>
      </w:r>
    </w:p>
    <w:p>
      <w:pPr>
        <w:spacing w:after="0" w:line="152" w:lineRule="exact"/>
        <w:rPr>
          <w:sz w:val="20"/>
          <w:szCs w:val="20"/>
          <w:color w:val="auto"/>
        </w:rPr>
      </w:pPr>
    </w:p>
    <w:p>
      <w:pPr>
        <w:ind w:right="2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Revolving Commitments</w:t>
      </w:r>
      <w:r>
        <w:rPr>
          <w:rFonts w:ascii="Times New Roman" w:cs="Times New Roman" w:eastAsia="Times New Roman" w:hAnsi="Times New Roman"/>
          <w:sz w:val="20"/>
          <w:szCs w:val="20"/>
          <w:color w:val="auto"/>
        </w:rPr>
        <w:t>” means one or more Classes of Revolving Commitments hereunder that result from a Refinancing Amendment.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Revolving Loans</w:t>
      </w:r>
      <w:r>
        <w:rPr>
          <w:rFonts w:ascii="Times New Roman" w:cs="Times New Roman" w:eastAsia="Times New Roman" w:hAnsi="Times New Roman"/>
          <w:sz w:val="20"/>
          <w:szCs w:val="20"/>
          <w:color w:val="auto"/>
        </w:rPr>
        <w:t>” means one or more Classes of Revolving Loans that result from a Refinancing Amendment.</w:t>
      </w:r>
    </w:p>
    <w:p>
      <w:pPr>
        <w:spacing w:after="0" w:line="216"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xml:space="preserve">” means all present or future stamp or documentary Taxes, intangible, recording, filing, property or similar Taxes arising from any payment made under, from the execution, delivery, performance, enforcement or registration of, from the receipt or perfection of a security interest under, or otherwise with respect to, any Loan Document, except any such Taxes that are imposed with respect to an assignment, grant of participation, designation of a new office for receiving payments by or on account of the Borrower or other transfer (other than an assignment, designation or other transfer at the request of the Borrower pursuant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as a result of any connection between the assignee or assignor and the jurisdiction imposing such Tax (other than connections resulting solely from such assignee or assignor having executed, delivered, enforced, become a party to, performed its obligations under, received payments under, received or perfected a security interest under, or engaged in any other transaction pursuant to any Loan or Loan Document).</w:t>
      </w:r>
    </w:p>
    <w:p>
      <w:pPr>
        <w:spacing w:after="0" w:line="182" w:lineRule="exact"/>
        <w:rPr>
          <w:sz w:val="20"/>
          <w:szCs w:val="20"/>
          <w:color w:val="auto"/>
        </w:rPr>
      </w:pPr>
    </w:p>
    <w:p>
      <w:pPr>
        <w:ind w:right="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Term Loan Commitments</w:t>
      </w:r>
      <w:r>
        <w:rPr>
          <w:rFonts w:ascii="Times New Roman" w:cs="Times New Roman" w:eastAsia="Times New Roman" w:hAnsi="Times New Roman"/>
          <w:sz w:val="20"/>
          <w:szCs w:val="20"/>
          <w:color w:val="auto"/>
        </w:rPr>
        <w:t>” means one or more Classes of Term Loan commitments hereunder that result from a Refinancing Amendment.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Term Loans</w:t>
      </w:r>
      <w:r>
        <w:rPr>
          <w:rFonts w:ascii="Times New Roman" w:cs="Times New Roman" w:eastAsia="Times New Roman" w:hAnsi="Times New Roman"/>
          <w:sz w:val="20"/>
          <w:szCs w:val="20"/>
          <w:color w:val="auto"/>
        </w:rPr>
        <w:t>” means one or more Classes of Term Loans that result from a Refinancing Amendment.</w:t>
      </w:r>
    </w:p>
    <w:p>
      <w:pPr>
        <w:spacing w:after="0" w:line="216" w:lineRule="exact"/>
        <w:rPr>
          <w:sz w:val="20"/>
          <w:szCs w:val="20"/>
          <w:color w:val="auto"/>
        </w:rPr>
      </w:pPr>
    </w:p>
    <w:p>
      <w:pPr>
        <w:ind w:right="40" w:firstLine="1497"/>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Outstanding Amount</w:t>
      </w:r>
      <w:r>
        <w:rPr>
          <w:rFonts w:ascii="Times New Roman" w:cs="Times New Roman" w:eastAsia="Times New Roman" w:hAnsi="Times New Roman"/>
          <w:sz w:val="19"/>
          <w:szCs w:val="19"/>
          <w:color w:val="auto"/>
        </w:rPr>
        <w:t>” means (1) with respect to the Term Loans, Revolving Loans and Swing Line Loans on any date, the outstanding principal amount thereof after giving effect to any borrowings and prepayments or repayments of Term Loans, Revolving Loans (including any refinancing of outstanding Unreimbursed Amounts under Letters of Credit or L/C Credit Extensions as a Revolving Borrowing) and Swing Line Loans, as the case may be, occurring on such date; and (2) with respect to any L/C Obligations on any date, the outstanding principal amount thereof (or in the case any undrawn Letter of Credit, the maximum amount available for drawing thereunder)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Borrowing) or any reductions in the maximum amount available for drawing under related Letters of Credit taking effect on such date.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ind w:right="1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Overnight Rate</w:t>
      </w:r>
      <w:r>
        <w:rPr>
          <w:rFonts w:ascii="Times New Roman" w:cs="Times New Roman" w:eastAsia="Times New Roman" w:hAnsi="Times New Roman"/>
          <w:sz w:val="20"/>
          <w:szCs w:val="20"/>
          <w:color w:val="auto"/>
        </w:rPr>
        <w:t>” means, for any day, the greater of (1) the Federal Funds Rate and (2) an overnight rate determined by the Administrative Agent, an Issuing Bank or a Swing Line Lender, as applicable, in accordance with banking industry rules on interbank compensation.</w:t>
      </w:r>
    </w:p>
    <w:p>
      <w:pPr>
        <w:spacing w:after="0" w:line="169" w:lineRule="exact"/>
        <w:rPr>
          <w:sz w:val="20"/>
          <w:szCs w:val="20"/>
          <w:color w:val="auto"/>
        </w:rPr>
      </w:pPr>
    </w:p>
    <w:p>
      <w:pPr>
        <w:jc w:val="both"/>
        <w:ind w:right="10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Parent Company</w:t>
      </w:r>
      <w:r>
        <w:rPr>
          <w:rFonts w:ascii="Times New Roman" w:cs="Times New Roman" w:eastAsia="Times New Roman" w:hAnsi="Times New Roman"/>
          <w:sz w:val="19"/>
          <w:szCs w:val="19"/>
          <w:color w:val="auto"/>
        </w:rPr>
        <w:t>” means any Person that is a direct or indirect parent (which may be organized as, among other things, a partnership) of Holdings and/or the Borrower (for the avoidance of doubt, in the case of the Borrower, including Holdings), as applicable.</w:t>
      </w:r>
    </w:p>
    <w:p>
      <w:pPr>
        <w:spacing w:after="0" w:line="1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Pari Passu Lien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clause (39)</w:t>
      </w:r>
      <w:r>
        <w:rPr>
          <w:rFonts w:ascii="Times New Roman" w:cs="Times New Roman" w:eastAsia="Times New Roman" w:hAnsi="Times New Roman"/>
          <w:sz w:val="20"/>
          <w:szCs w:val="20"/>
          <w:color w:val="auto"/>
        </w:rPr>
        <w:t xml:space="preserve"> of the definition of “Permitted Liens.”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2.05(1)(e)(C)(2)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Block</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2.05(2)(g)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ind w:right="8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any “employee pension benefit plan” (as such term is defined in Section 3(2) of ERISA), other than a Multiemployer Plan, that is subject to Title IV of ERISA and is sponsored or maintained by the Borrower, Holdings, or any of their respective ERISA Affiliates or to which the Borrower, Holdings, or any of their respective ERISA Affiliates contributes or has an obligation to contribute, or in the case of a multiple employer or other plan described in Section 4064(a) of ERISA, has made contributions at any time in the preceding five plan years and with respect to which any obligation or liability remains outstanding.</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Perfection Certificate</w:t>
      </w:r>
      <w:r>
        <w:rPr>
          <w:rFonts w:ascii="Times New Roman" w:cs="Times New Roman" w:eastAsia="Times New Roman" w:hAnsi="Times New Roman"/>
          <w:sz w:val="20"/>
          <w:szCs w:val="20"/>
          <w:color w:val="auto"/>
        </w:rPr>
        <w:t>” has the meaning specified in the Security Agreement.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of the definition of “Permitted Investments.”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7.02(2)(n)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4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Asset Swap</w:t>
      </w:r>
      <w:r>
        <w:rPr>
          <w:rFonts w:ascii="Times New Roman" w:cs="Times New Roman" w:eastAsia="Times New Roman" w:hAnsi="Times New Roman"/>
          <w:sz w:val="20"/>
          <w:szCs w:val="20"/>
          <w:color w:val="auto"/>
        </w:rPr>
        <w:t xml:space="preserve">” means the substantially concurrent purchase and sale or exchange of Related Business Assets or a combination of Related Business Assets and cash or Cash Equivalents between the Borrower or any Restricted Subsidiary or any Affiliated Practice and another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cash or Cash Equivalents received in connection with a Permitted Asset Swap that constitutes an Asset Sale made in reliance on </w:t>
      </w:r>
      <w:r>
        <w:rPr>
          <w:rFonts w:ascii="Times New Roman" w:cs="Times New Roman" w:eastAsia="Times New Roman" w:hAnsi="Times New Roman"/>
          <w:sz w:val="20"/>
          <w:szCs w:val="20"/>
          <w:u w:val="single" w:color="auto"/>
          <w:color w:val="auto"/>
        </w:rPr>
        <w:t>Section 7.04(2)</w:t>
      </w:r>
      <w:r>
        <w:rPr>
          <w:rFonts w:ascii="Times New Roman" w:cs="Times New Roman" w:eastAsia="Times New Roman" w:hAnsi="Times New Roman"/>
          <w:sz w:val="20"/>
          <w:szCs w:val="20"/>
          <w:color w:val="auto"/>
        </w:rPr>
        <w:t xml:space="preserve"> must be applied in accordance with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Bond Hedge Transaction</w:t>
      </w:r>
      <w:r>
        <w:rPr>
          <w:rFonts w:ascii="Times New Roman" w:cs="Times New Roman" w:eastAsia="Times New Roman" w:hAnsi="Times New Roman"/>
          <w:sz w:val="20"/>
          <w:szCs w:val="20"/>
          <w:color w:val="auto"/>
        </w:rPr>
        <w:t xml:space="preserve">” means any call or capped call option (or substantively equivalent derivative transaction) on the Borrower’s common equity purchased by the Borrower in connection with the issuance of any Convertible Indebtedness;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purchase price for such Permitted Bond Hedge Transaction, less the proceeds received by the Borrower from the sale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Permitted Warrant Transaction, does not exceed the net proceeds received by the Borrower from the sale of such Convertible Indebtedness issued in connection with the Permitted Bond Hedge Transaction.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65" w:name="page166"/>
    <w:bookmarkEnd w:id="165"/>
    <w:p>
      <w:pPr>
        <w:ind w:right="6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Convertible Indebtedness Call Transaction</w:t>
      </w:r>
      <w:r>
        <w:rPr>
          <w:rFonts w:ascii="Times New Roman" w:cs="Times New Roman" w:eastAsia="Times New Roman" w:hAnsi="Times New Roman"/>
          <w:sz w:val="20"/>
          <w:szCs w:val="20"/>
          <w:color w:val="auto"/>
        </w:rPr>
        <w:t>” means any Permitted Bond Hedge Transaction and any Permitted Warrant Transaction.</w:t>
      </w:r>
    </w:p>
    <w:p>
      <w:pPr>
        <w:spacing w:after="0" w:line="152" w:lineRule="exact"/>
        <w:rPr>
          <w:sz w:val="20"/>
          <w:szCs w:val="20"/>
          <w:color w:val="auto"/>
        </w:rPr>
      </w:pPr>
    </w:p>
    <w:p>
      <w:pPr>
        <w:ind w:right="20"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Equal Priority Refinancing Debt</w:t>
      </w:r>
      <w:r>
        <w:rPr>
          <w:rFonts w:ascii="Times New Roman" w:cs="Times New Roman" w:eastAsia="Times New Roman" w:hAnsi="Times New Roman"/>
          <w:sz w:val="20"/>
          <w:szCs w:val="20"/>
          <w:color w:val="auto"/>
        </w:rPr>
        <w:t xml:space="preserve">” means any secured Indebtedness incurred by the Borrower and/or any Guarantor in the form of one or more series of senior secured notes, bonds or debentures or first lien secured loans (and, if applicable, any Registered Equivalent Notes issued in exchange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such Indebtedness is secured by Liens on all or a portion of the Collateral on a basis that is equal in priority to the Liens on the Collateral securing the First Lien Obligations under this Agreement (but without regard to the control of remedies) and is not secured by any property or assets of the Borrower or any Restricted Subsidiary other than the Collateral, (2) such Indebtedness satisfies the applicable requirements set forth in the provisos to the definition of “Credit Agreement Refinancing Indebtedness,” (3) such Indebtedness is not at any time guaranteed by any Subsidiary of the Borrower other than Subsidiaries that are Guarantors and (4) the applicable Loan Parties, the holders of such Indebtedness (or their Debt Representative) and the Administrative Agent and/or Collateral Agent shall be party to an Intercreditor Agreement providing that the Liens on the Collateral securing such obligations shall rank equal in priority to the Liens on the Collateral securing the First Lien Obligations under this Agreement (but without regard to the control of remedies).</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Equity Issuance</w:t>
      </w:r>
      <w:r>
        <w:rPr>
          <w:rFonts w:ascii="Times New Roman" w:cs="Times New Roman" w:eastAsia="Times New Roman" w:hAnsi="Times New Roman"/>
          <w:sz w:val="19"/>
          <w:szCs w:val="19"/>
          <w:color w:val="auto"/>
        </w:rPr>
        <w:t>” means any sale or issuance of any Qualified Equity Interests of the Borrower or any Parent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190" w:lineRule="exact"/>
        <w:rPr>
          <w:sz w:val="20"/>
          <w:szCs w:val="20"/>
          <w:color w:val="auto"/>
        </w:rPr>
      </w:pPr>
    </w:p>
    <w:p>
      <w:pPr>
        <w:ind w:right="80"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Holder</w:t>
      </w:r>
      <w:r>
        <w:rPr>
          <w:rFonts w:ascii="Times New Roman" w:cs="Times New Roman" w:eastAsia="Times New Roman" w:hAnsi="Times New Roman"/>
          <w:sz w:val="20"/>
          <w:szCs w:val="20"/>
          <w:color w:val="auto"/>
        </w:rPr>
        <w:t xml:space="preserve">” means (1) any of the Investor, Co-Investors and Management Stockholders and any group (within the meaning of Section 13(d)(3) or Section 14(d)(2) of the Exchange Act) of which any of the foregoing are members;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such group and without giving effect to the existence of such group or any other group, such Investor, Co-Investors and Management Stockholders, collectively, have, directly or indirectly, beneficial ownership of more than 50.0% of the total voting power of the Voting Stock of Holdings or any Permitted Parent held by such group, (2) any Parent Company not formed in connection with, or in contemplation of, a transaction that, assuming such parent was not formed, after giving effect thereto would constitute a Change of Control and (3) any Person acting in the capacity of an underwriter (solely to the extent that and for so long as such Person is acting in such capacity) in connection with a public or private offering of Capital Stock of the Borrower or any Parent Company.</w:t>
      </w:r>
    </w:p>
    <w:p>
      <w:pPr>
        <w:spacing w:after="0" w:line="182"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Incremental Equivalent Debt</w:t>
      </w:r>
      <w:r>
        <w:rPr>
          <w:rFonts w:ascii="Times New Roman" w:cs="Times New Roman" w:eastAsia="Times New Roman" w:hAnsi="Times New Roman"/>
          <w:sz w:val="20"/>
          <w:szCs w:val="20"/>
          <w:color w:val="auto"/>
        </w:rPr>
        <w:t xml:space="preserve">” means Indebtedness issued, incurred or otherwise obtained by the Borrower and/or any Restricted Subsidiary in respect of one or more series of senior unsecured notes, senior secured first lien or junior lien notes or subordinated notes (in each case in respect of the issuance of notes, whether issued in a public offering, Rule 144A or other private placement or otherwise), first lien or junior lien loans, unsecured or subordinated loans or any bridge financing in lieu of the foregoing (and any Registered Equivalent Notes issued in exchange therefor) or secured or unsecured mezzanine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4" w:lineRule="exact"/>
        <w:rPr>
          <w:sz w:val="20"/>
          <w:szCs w:val="20"/>
          <w:color w:val="auto"/>
        </w:rPr>
      </w:pPr>
    </w:p>
    <w:p>
      <w:pPr>
        <w:ind w:left="760" w:right="40" w:firstLine="393"/>
        <w:spacing w:after="0" w:line="243" w:lineRule="auto"/>
        <w:tabs>
          <w:tab w:leader="none" w:pos="155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such Indebtedness (excluding, for the avoidance of doubt, interest rates (including through fixed interest rates), interest margins, rate floors, fees, funding discounts, original issue discounts and prepayment or redemption premiums and terms) shall either, at the option of the Borrower, (i) if otherwise not consistent with the terms of the Closing Date Term Loans, not be materially more restrictive to the Borrower (as determined by the Borrower in good faith), when taken as a whole, than the terms of the Closing Date Term Loans, except, in each case under this clause (i), with respect to (I) covenants and other terms applicable to any period after the Latest Maturity Date of the Closing Date Term Loans in effect immediately prior to such incurrence or (II) a Previously Absent Financial Maintenance Covenant (so long as, (A) to the extent that such Indebtedness includes a Previously Absent Financial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6" w:name="page167"/>
    <w:bookmarkEnd w:id="166"/>
    <w:p>
      <w:pPr>
        <w:spacing w:after="0" w:line="241" w:lineRule="auto"/>
        <w:rPr>
          <w:sz w:val="20"/>
          <w:szCs w:val="20"/>
          <w:color w:val="auto"/>
        </w:rPr>
      </w:pPr>
      <w:r>
        <w:rPr>
          <w:rFonts w:ascii="Times New Roman" w:cs="Times New Roman" w:eastAsia="Times New Roman" w:hAnsi="Times New Roman"/>
          <w:sz w:val="20"/>
          <w:szCs w:val="20"/>
          <w:color w:val="auto"/>
        </w:rPr>
        <w:t>Maintenance Covenant that is in effect prior to the Latest Maturity Date of the Closing Date Revolving Facility and consists solely of a revolving credit facility (whether or not the documentation therefor includes any other facilities) and the applicable Previously Absent Financial Maintenance Covenant is included only for the benefit of such revolving credit facility, such Previously Absent Financial Maintenance Covenant shall be included for the benefit of the Closing Date Revolving Facility and (B) to the extent that such Indebtedness includes a Previously Absent Financial Maintenance Covenant that is in effect prior to the Latest Maturity Date and does not consist solely of a revolving credit facility (whether or not the documentation therefor includes any other facilities), such Previously Absent Financial Maintenance Covenant shall be included for the benefit of the Closing Date Term Loans) or (ii) such terms shall be reasonably satisfactory to the Administrative Agent (provided that, at the Borrower’s election, to the extent any term or provision is added for the benefit of (I) the lenders of any such Indebtedness that consists of term facilities, no consent shall be required from the Administrative Agent (or any Lender) to the extent that such term or provision is also added, or the features of such term or provision are provided, for the benefit of the Closing Date Term Loans or (II) the lenders of any such Indebtedness that consists of revolving credit facilities, no consent shall be required from the Administrative Agent or any Lender to the extent that such term or provision is also added, or the features of such term or provision are provided, for the benefit of the Lenders of the Closing Date Revolving Facility);</w:t>
      </w:r>
    </w:p>
    <w:p>
      <w:pPr>
        <w:spacing w:after="0" w:line="196" w:lineRule="exact"/>
        <w:rPr>
          <w:sz w:val="20"/>
          <w:szCs w:val="20"/>
          <w:color w:val="auto"/>
        </w:rPr>
      </w:pPr>
    </w:p>
    <w:p>
      <w:pPr>
        <w:ind w:firstLine="393"/>
        <w:spacing w:after="0" w:line="244" w:lineRule="auto"/>
        <w:tabs>
          <w:tab w:leader="none" w:pos="84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all Permitted Incremental Equivalent Debt shall not exceed the Available Incremental Amount at the time of incurrence (it being understood that for purposes of this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(a) references in </w:t>
      </w:r>
      <w:r>
        <w:rPr>
          <w:rFonts w:ascii="Times New Roman" w:cs="Times New Roman" w:eastAsia="Times New Roman" w:hAnsi="Times New Roman"/>
          <w:sz w:val="20"/>
          <w:szCs w:val="20"/>
          <w:u w:val="single" w:color="auto"/>
          <w:color w:val="auto"/>
        </w:rPr>
        <w:t>Section 2.14(4)(c)(ii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2.14(4)(c)(iii)</w:t>
      </w:r>
      <w:r>
        <w:rPr>
          <w:rFonts w:ascii="Times New Roman" w:cs="Times New Roman" w:eastAsia="Times New Roman" w:hAnsi="Times New Roman"/>
          <w:sz w:val="20"/>
          <w:szCs w:val="20"/>
          <w:color w:val="auto"/>
        </w:rPr>
        <w:t xml:space="preserve"> (other than the first proviso thereto) to Incremental Loans, Incremental Commitments or Incremental Revolving Commitments shall be deemed to be references to Permitted Incremental Equivalent Debt, (b) for purposes of determining the Available Incremental Amount under </w:t>
      </w:r>
      <w:r>
        <w:rPr>
          <w:rFonts w:ascii="Times New Roman" w:cs="Times New Roman" w:eastAsia="Times New Roman" w:hAnsi="Times New Roman"/>
          <w:sz w:val="20"/>
          <w:szCs w:val="20"/>
          <w:u w:val="single" w:color="auto"/>
          <w:color w:val="auto"/>
        </w:rPr>
        <w:t>Section 2.14(4)(c)(iii)</w:t>
      </w:r>
      <w:r>
        <w:rPr>
          <w:rFonts w:ascii="Times New Roman" w:cs="Times New Roman" w:eastAsia="Times New Roman" w:hAnsi="Times New Roman"/>
          <w:sz w:val="20"/>
          <w:szCs w:val="20"/>
          <w:color w:val="auto"/>
        </w:rPr>
        <w:t xml:space="preserve">, any Permitted Incremental Equivalent Debt that is secured by assets that do not constitute Collateral shall be subject to </w:t>
      </w:r>
      <w:r>
        <w:rPr>
          <w:rFonts w:ascii="Times New Roman" w:cs="Times New Roman" w:eastAsia="Times New Roman" w:hAnsi="Times New Roman"/>
          <w:sz w:val="20"/>
          <w:szCs w:val="20"/>
          <w:u w:val="single" w:color="auto"/>
          <w:color w:val="auto"/>
        </w:rPr>
        <w:t>Section 2.14(4)(c)(iii)(III)</w:t>
      </w:r>
      <w:r>
        <w:rPr>
          <w:rFonts w:ascii="Times New Roman" w:cs="Times New Roman" w:eastAsia="Times New Roman" w:hAnsi="Times New Roman"/>
          <w:sz w:val="20"/>
          <w:szCs w:val="20"/>
          <w:color w:val="auto"/>
        </w:rPr>
        <w:t xml:space="preserve"> and (c) the Available Incremental Amount shall be determined without giving effect to clause (II) of </w:t>
      </w:r>
      <w:r>
        <w:rPr>
          <w:rFonts w:ascii="Times New Roman" w:cs="Times New Roman" w:eastAsia="Times New Roman" w:hAnsi="Times New Roman"/>
          <w:sz w:val="20"/>
          <w:szCs w:val="20"/>
          <w:u w:val="single" w:color="auto"/>
          <w:color w:val="auto"/>
        </w:rPr>
        <w:t>2.14(4)(c)(i)</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right="220" w:firstLine="393"/>
        <w:spacing w:after="0" w:line="249" w:lineRule="auto"/>
        <w:tabs>
          <w:tab w:leader="none" w:pos="79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Permitted Incremental Equivalent Debt is secured, (x) it must be secured solely by the Collateral (other than any such Permitted Incremental Equivalent Debt either incurred by a Restricted Subsidiary that is not a Loan Party or secured by the assets of a Person that is not a Subsidiary) and (y) such Permitted Incremental Equivalent Debt shall be subject to an applicable Intercreditor Agreement;</w:t>
      </w:r>
    </w:p>
    <w:p>
      <w:pPr>
        <w:spacing w:after="0" w:line="179" w:lineRule="exact"/>
        <w:rPr>
          <w:rFonts w:ascii="Times New Roman" w:cs="Times New Roman" w:eastAsia="Times New Roman" w:hAnsi="Times New Roman"/>
          <w:sz w:val="20"/>
          <w:szCs w:val="20"/>
          <w:color w:val="auto"/>
        </w:rPr>
      </w:pPr>
    </w:p>
    <w:p>
      <w:pPr>
        <w:ind w:right="40" w:firstLine="393"/>
        <w:spacing w:after="0" w:line="242" w:lineRule="auto"/>
        <w:tabs>
          <w:tab w:leader="none" w:pos="79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Incremental Equivalent Debt, (a) shall not mature earlier than the Original Term Loan Maturity Date (or if such Permitted Incremental Equivalent Debt is a revolving credit facility, shall not mature earlier than the Original Revolving Facility Maturity Date) and (b) shall have a Weighted Average Life to Maturity not shorter than the remaining Weighted Average Life to Maturity of the Closing Date Term Loans on the date of incurrence of such Permitted Incremental Equivalent Debt (it being understood that this clause (b) shall not apply to any Permitted Incremental Equivalent Debt in the form of revolving credit facilities), in each case, other than an earlier maturity date and/or shorter Weighted Average Life to Maturity (i) for customary bridge financings, which, subject to customary conditions (as determined by the Borrower in good faith), would either be automatically converted into or required to be exchanged for permanent financing that does not provide for an earlier maturity date or a shorter Weighted Average Life to Maturity than the Original Term Loan Maturity Date or the remaining Weighted Average Life to Maturity of the Closing Date Term Loans, as applicable or (ii) pursuant to an escrow or similar arrangement with respect to the proceeds of such Permitted</w:t>
      </w:r>
    </w:p>
    <w:p>
      <w:pPr>
        <w:spacing w:after="0" w:line="3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67" w:name="page168"/>
    <w:bookmarkEnd w:id="167"/>
    <w:p>
      <w:pPr>
        <w:ind w:left="760" w:right="80"/>
        <w:spacing w:after="0" w:line="244" w:lineRule="auto"/>
        <w:rPr>
          <w:sz w:val="20"/>
          <w:szCs w:val="20"/>
          <w:color w:val="auto"/>
        </w:rPr>
      </w:pPr>
      <w:r>
        <w:rPr>
          <w:rFonts w:ascii="Times New Roman" w:cs="Times New Roman" w:eastAsia="Times New Roman" w:hAnsi="Times New Roman"/>
          <w:sz w:val="20"/>
          <w:szCs w:val="20"/>
          <w:color w:val="auto"/>
        </w:rPr>
        <w:t>Incremental Equivalent Debt, to the extent such Permitted Incremental Equivalent Debt, upon release of such proceeds from such escrow or similar arrangement (other than a release effectuated in order to repay such Permitted Incremental Equivalent Debt) does not provide for an earlier maturity date or a shorter Weighted Average Life to Maturity than the Original Term Loan Maturity Date or the remaining Weighted Average Life to Maturity of the Closing Date Term Loans,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any such Indebtedness that is subordinated in right of payment or security to the Closing Date Term Loans or Closing Date Revolving Facility shall not be subject to amortization or mature earlier than 91 days after the then-Latest Maturity Date of the Closing Date Term Facility or Closing Date Revolving Facility, as applicable);</w:t>
      </w:r>
    </w:p>
    <w:p>
      <w:pPr>
        <w:spacing w:after="0" w:line="186" w:lineRule="exact"/>
        <w:rPr>
          <w:sz w:val="20"/>
          <w:szCs w:val="20"/>
          <w:color w:val="auto"/>
        </w:rPr>
      </w:pPr>
    </w:p>
    <w:p>
      <w:pPr>
        <w:ind w:left="1540" w:hanging="387"/>
        <w:spacing w:after="0"/>
        <w:tabs>
          <w:tab w:leader="none" w:pos="15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760" w:right="160" w:firstLine="393"/>
        <w:spacing w:after="0" w:line="246" w:lineRule="auto"/>
        <w:tabs>
          <w:tab w:leader="none" w:pos="1551"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Restricted Subsidiary that does not constitute a Loan Party may incur Permitted Incremental Equivalent Debt, if, on a pro forma basis after giving effect thereto, the aggregate outstanding principal amount (in each case, other than Incremental Amounts) of Permitted Incremental Equivalent Debt incurred by Restricted Subsidiaries that are not Loan Parties, together with Permitted Ratio Debt in the form of Indebtedness incurred by Restricted Subsidiaries that are not Loan Parties, would exceed the Shared Non-Guarantor Debt Cap;</w:t>
      </w:r>
    </w:p>
    <w:p>
      <w:pPr>
        <w:spacing w:after="0" w:line="184" w:lineRule="exact"/>
        <w:rPr>
          <w:rFonts w:ascii="Times New Roman" w:cs="Times New Roman" w:eastAsia="Times New Roman" w:hAnsi="Times New Roman"/>
          <w:sz w:val="20"/>
          <w:szCs w:val="20"/>
          <w:color w:val="auto"/>
        </w:rPr>
      </w:pPr>
    </w:p>
    <w:p>
      <w:pPr>
        <w:ind w:left="760" w:right="620" w:firstLine="393"/>
        <w:spacing w:after="0" w:line="269" w:lineRule="auto"/>
        <w:tabs>
          <w:tab w:leader="none" w:pos="1551"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Incremental Equivalent Debt that is secured on a junior basis to the Lien securing the Obligations or unsecured shall not have amortization prior to the Latest Maturity Date with respect to the Closing Date Term Loans;</w:t>
      </w:r>
    </w:p>
    <w:p>
      <w:pPr>
        <w:spacing w:after="0" w:line="159" w:lineRule="exact"/>
        <w:rPr>
          <w:rFonts w:ascii="Times New Roman" w:cs="Times New Roman" w:eastAsia="Times New Roman" w:hAnsi="Times New Roman"/>
          <w:sz w:val="20"/>
          <w:szCs w:val="20"/>
          <w:color w:val="auto"/>
        </w:rPr>
      </w:pPr>
    </w:p>
    <w:p>
      <w:pPr>
        <w:ind w:firstLine="404"/>
        <w:spacing w:after="0" w:line="241" w:lineRule="auto"/>
        <w:tabs>
          <w:tab w:leader="none" w:pos="791"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seek the Permitted Incremental Equivalent Debt from then-existing Lenders, (other than Defaulting Lenders) prior to the time of incurrence such Permitted Incremental Equivalent Debt from any other Person (it being understood that Borrower may seek such Permitted Incremental Equivalent Debt from existing Lenders prior to seeking such Permitted Incremental Equivalent Debt from other Persons), and such then-existing Lenders shall notify the Borrower and the Administrative Agent in writing of their participation in, and offered commitment with respect to, such Permitted Incremental Equivalent Debt within five Business Days of the delivery by the Borrower to the Administrative Agent of such notice (it being understood that (A) if any existing Lender fails to so notify the Borrower and the Administrative Agent of its participation in (or not provide) any such Permitted Incremental Equivalent Debt within five Business Days of such notice, it shall be deemed to have declined providing or otherwise participating in such Permitted Incremental Equivalent Debt, (B) the Borrower shall not be required to accept any Permitted Incremental Equivalent Debt from existing Lenders pursuant to this clause (8) on any terms and conditions less favorable to the Borrower or its Restricted Subsidiaries than the terms and conditions of any Permitted Incremental Equivalent Debt to be provided by any other Person and (C) the Borrower shall not be required to accept any Permitted Incremental Equivalent Debt from existing Lenders pursuant to this clause (8) to the extent existing Lenders in the aggregate do not provide Permitted Incremental Equivalent Debt in the amount requested by the Borrower pursuant to such notice); and</w:t>
      </w:r>
    </w:p>
    <w:p>
      <w:pPr>
        <w:spacing w:after="0" w:line="19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“Permitted Incremental Equivalent Debt” may be incurred in the form of a bridge or other interim credit facility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intended to be refinanced or replaced with long term indebtedness (so long as such credit facility includes customary “rollover provisions” that satisfy the requirements of </w:t>
      </w:r>
      <w:r>
        <w:rPr>
          <w:rFonts w:ascii="Times New Roman" w:cs="Times New Roman" w:eastAsia="Times New Roman" w:hAnsi="Times New Roman"/>
          <w:sz w:val="20"/>
          <w:szCs w:val="20"/>
          <w:u w:val="single" w:color="auto"/>
          <w:color w:val="auto"/>
        </w:rPr>
        <w:t>clause (4)</w:t>
      </w:r>
      <w:r>
        <w:rPr>
          <w:rFonts w:ascii="Times New Roman" w:cs="Times New Roman" w:eastAsia="Times New Roman" w:hAnsi="Times New Roman"/>
          <w:sz w:val="20"/>
          <w:szCs w:val="20"/>
          <w:color w:val="auto"/>
        </w:rPr>
        <w:t xml:space="preserve"> above following such rollover or upon the release of such debt from such escrow arrangements), in which case, on or prior to the first anniversary of the incurrence of such “bridge” or other credit facility, </w:t>
      </w:r>
      <w:r>
        <w:rPr>
          <w:rFonts w:ascii="Times New Roman" w:cs="Times New Roman" w:eastAsia="Times New Roman" w:hAnsi="Times New Roman"/>
          <w:sz w:val="20"/>
          <w:szCs w:val="20"/>
          <w:u w:val="single" w:color="auto"/>
          <w:color w:val="auto"/>
        </w:rPr>
        <w:t>clause (4)</w:t>
      </w:r>
      <w:r>
        <w:rPr>
          <w:rFonts w:ascii="Times New Roman" w:cs="Times New Roman" w:eastAsia="Times New Roman" w:hAnsi="Times New Roman"/>
          <w:sz w:val="20"/>
          <w:szCs w:val="20"/>
          <w:color w:val="auto"/>
        </w:rPr>
        <w:t xml:space="preserve"> of the first proviso in this definition shall not prohibit the inclusion of customary terms for “bridge” facilities, including customary mandatory prepayment, repurchase or redemption provisions.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Indebtedness</w:t>
      </w:r>
      <w:r>
        <w:rPr>
          <w:rFonts w:ascii="Times New Roman" w:cs="Times New Roman" w:eastAsia="Times New Roman" w:hAnsi="Times New Roman"/>
          <w:sz w:val="20"/>
          <w:szCs w:val="20"/>
          <w:color w:val="auto"/>
        </w:rPr>
        <w:t xml:space="preserve">” means Indebtedness permitted to be incurred in accordance with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Investments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360" w:firstLine="745"/>
        <w:spacing w:after="0" w:line="241" w:lineRule="auto"/>
        <w:tabs>
          <w:tab w:leader="none" w:pos="7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in the Borrower, any Restricted Subsidiary or any Affiliated Practice (or any Subsidiary of any Affiliated Practice);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such Investments (other than Investments in connection with transfer pricing activities) by (x) Loan Parties in Restricted Subsidiaries that are not Loan Parties or (y) by the Borrower or its Restricted Subsidiaries in Affiliated Practice, in each case, outstanding at any time under the foregoing clauses (x) and (y) of this clause (1) in the aggregate shall not exceed, together with Investments made by Loan Parties in Persons that are not (or do not become) Loan Parties or Affiliated Practices (or Subsidiaries of Affiliated Practices) under (and subject to the cap specified in) the second proviso of clause (3)(a) below, the Shared Non-Guarantor Investment Cap determined at the time of making of such Investment (the “</w:t>
      </w:r>
      <w:r>
        <w:rPr>
          <w:rFonts w:ascii="Times New Roman" w:cs="Times New Roman" w:eastAsia="Times New Roman" w:hAnsi="Times New Roman"/>
          <w:sz w:val="20"/>
          <w:szCs w:val="20"/>
          <w:b w:val="1"/>
          <w:bCs w:val="1"/>
          <w:color w:val="auto"/>
        </w:rPr>
        <w:t>Specified Investments Sub-Limit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however, that if any Investment incurred pursuant to this clause (1) is made in (I) any Restricted Subsidiary that is not a Loan Party or (II) any Affiliated Practice (or any Subsidiary of an Affiliated Practice), in each case, at the date of the making of such Investment and such Person becomes a Loan Party after such date, such Investment shall thereafter be deemed not to have utilized the Specified Investments Sub-Limit for so long as such Person continues to be a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 if any Investment incurred pursuant to this clause (1) is made in any Restricted Subsidiary that is not a Loan Party or in any Affiliated Practice (or Subsidiary of an Affiliated Practice) prior to the Closing Date, such Investment shall be deemed not to have utilized the Specified Investments Sub-Limit so long as such Person constitutes a Loan Party or Affiliated Practice on the Closing Date, (B) all Investments made in an Affiliated Practice (or any Subsidiary of an Affiliated Practice) by the Borrower or any other Loan Party after the Closing Date pursuant to this clause (1) shall be in the form of indebtedness owed to the Borrower or such other Loan Party, as applicable, and (C) all Investments made in an Affiliated Practice (or any Subsidiary of an Affiliated Practice) by a Restricted Subsidiary (other than a Loan Party) after the Closing Date pursuant to this clause (1) shall be in the form of indebtedness owed to such Restricted Subsidiary;</w:t>
      </w:r>
    </w:p>
    <w:p>
      <w:pPr>
        <w:spacing w:after="0" w:line="188"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in Cash Equivalents or Investment Grade Securities and Investments that were Cash Equivalents or Investment Grade Securities when made;</w:t>
      </w:r>
    </w:p>
    <w:p>
      <w:pPr>
        <w:spacing w:after="0" w:line="159" w:lineRule="exact"/>
        <w:rPr>
          <w:rFonts w:ascii="Times New Roman" w:cs="Times New Roman" w:eastAsia="Times New Roman" w:hAnsi="Times New Roman"/>
          <w:sz w:val="20"/>
          <w:szCs w:val="20"/>
          <w:color w:val="auto"/>
        </w:rPr>
      </w:pPr>
    </w:p>
    <w:p>
      <w:pPr>
        <w:ind w:left="-360" w:right="20" w:firstLine="745"/>
        <w:spacing w:after="0" w:line="242" w:lineRule="auto"/>
        <w:tabs>
          <w:tab w:leader="none" w:pos="7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Investment by the Borrower or any Restricted Subsidiary in any Person that is engaged (directly or through entities that will be Restricted Subsidiaries) in a Similar Business if as a result of such Investment (i) such Person becomes a Restricted Subsidiary, an Affiliated Practice or a Subsidiary of an Affiliated Practice or (ii) such Person, in one transaction or a series of related transactions, is amalgamated, merged or consolidated with or into, or transfers or conveys substantially all of its assets or substantially all of its customer lists or assets constituting a business unit, a line of business or a division of such Person (including, for the avoidance of doubt, “tuck in” acquisitions), to, or is liquidated into the Borrower, a Restricted Subsidiary, an Affiliated Practice or a Subsidiary of an Affiliated Practice (a “</w:t>
      </w:r>
      <w:r>
        <w:rPr>
          <w:rFonts w:ascii="Times New Roman" w:cs="Times New Roman" w:eastAsia="Times New Roman" w:hAnsi="Times New Roman"/>
          <w:sz w:val="20"/>
          <w:szCs w:val="20"/>
          <w:b w:val="1"/>
          <w:bCs w:val="1"/>
          <w:color w:val="auto"/>
        </w:rPr>
        <w:t>Permitted Acquisition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immediately after giving </w:t>
      </w:r>
      <w:r>
        <w:rPr>
          <w:rFonts w:ascii="Times New Roman" w:cs="Times New Roman" w:eastAsia="Times New Roman" w:hAnsi="Times New Roman"/>
          <w:sz w:val="20"/>
          <w:szCs w:val="20"/>
          <w:i w:val="1"/>
          <w:iCs w:val="1"/>
          <w:color w:val="auto"/>
        </w:rPr>
        <w:t xml:space="preserve">pro forma </w:t>
      </w:r>
      <w:r>
        <w:rPr>
          <w:rFonts w:ascii="Times New Roman" w:cs="Times New Roman" w:eastAsia="Times New Roman" w:hAnsi="Times New Roman"/>
          <w:sz w:val="20"/>
          <w:szCs w:val="20"/>
          <w:color w:val="auto"/>
        </w:rPr>
        <w:t>effect to any such Investment,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1.07(11)</w:t>
      </w:r>
      <w:r>
        <w:rPr>
          <w:rFonts w:ascii="Times New Roman" w:cs="Times New Roman" w:eastAsia="Times New Roman" w:hAnsi="Times New Roman"/>
          <w:sz w:val="20"/>
          <w:szCs w:val="20"/>
          <w:color w:val="auto"/>
        </w:rPr>
        <w:t>, no Event of Default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the Borrower) shall have occurred and be continuing, (y) any such Investment shall not be hostile, (z) to the extent all or a portion of the target of such acquisition is or is to become an Affiliated Practice and is not subject to an existing Services Agreement upon consummation of such acquisition, the Borrower or a Guarantor shall enter into a Services Agreement with the target or the Affiliated Practice(s) to which such target provides management</w:t>
      </w:r>
    </w:p>
    <w:p>
      <w:pPr>
        <w:spacing w:after="0" w:line="3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9" w:name="page170"/>
    <w:bookmarkEnd w:id="169"/>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services, as applicable, concurrently with, or within thirty (30) days after (or such longer period after as is agreed by the Administrative Agent) such target is acquired;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aggregate amount of Investments outstanding at any time under this clause (3)(a) made by Loan Parties in Persons that are not (or do not become) Loan Parties or Affiliated Practices (or Subsidiaries of Affiliated Practices) and assets that are not (or do not become) owned by Loan Parties or Affiliated Practices (or Subsidiaries of Affiliated Practices), in each case made with the proceeds of consideration provided by a Loan Party shall, to the extent of such consideration, not exceed, together with Investments under (and subject to the cap specified in) clauses (x) and (y) of the first proviso of clause (1) above the Shared Non-Guarantor Investment Cap determined at the time of making of such Investment (it being understood and agreed that the cap described in this proviso shall not apply to any Permitted Acquisition to the extent the Person so acquired (or the Person owning the assets so acquired) becomes a Loan Party or an Affiliated Practice (or a Subsidiary of an Affiliated Practice) even though such Person owns Equity Interests in Persons that are not otherwise required to become Loan Parties or Affiliated Practices (or Subsidiaries of Affiliated Practices) or in Persons that would otherwise constitute Excluded Subsidiaries of the Borrower, if not less than 80% (the “</w:t>
      </w:r>
      <w:r>
        <w:rPr>
          <w:rFonts w:ascii="Times New Roman" w:cs="Times New Roman" w:eastAsia="Times New Roman" w:hAnsi="Times New Roman"/>
          <w:sz w:val="20"/>
          <w:szCs w:val="20"/>
          <w:b w:val="1"/>
          <w:bCs w:val="1"/>
          <w:color w:val="auto"/>
        </w:rPr>
        <w:t>Specified Loan Party Acquisition Threshold</w:t>
      </w:r>
      <w:r>
        <w:rPr>
          <w:rFonts w:ascii="Times New Roman" w:cs="Times New Roman" w:eastAsia="Times New Roman" w:hAnsi="Times New Roman"/>
          <w:sz w:val="20"/>
          <w:szCs w:val="20"/>
          <w:color w:val="auto"/>
        </w:rPr>
        <w:t xml:space="preserve">”) of the Consolidated EBITDA of the Person(s) acquired in such Permitted Acquisition (for this purpose and for the component definitions used therein, determined on a consolidated basis for such Persons and their respective Restricted Subsidiaries) (or, if less than the Specified Loan Party Acquisition Threshold, the percentage of Consolidated EBITDA of the Borrower attributable to the Borrower immediately prior to giving effect to such Permitted Acquisition) on either (at the Borrower’s election) the date of consummation of such Permitted Acquisition or the date the definitive agreement for such Permitted Acquisition is entered into is generated by Person(s) that will become Loan Parties or Affiliated Practices (or Subsidiaries of Affiliated Practices); it being understood that any such consideration so provided by any Restricted Subsidiary that is not a Loan Party shall either not have been furnished to such Restricted Subsidiary by a Borrower or a Subsidiary Guarantor or, if so furnished by a Borrower or a Subsidiary Guarantor, shall have been otherwise permitted to have been so furnished under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in the event the amount available under this proviso is reduced as a result of any acquisition or other Investment made by Loan Parties in Persons that are not (or do not become) Loan Parties or Affiliated Practices (or Subsidiaries of Affiliated Practices) or assets that are not (or do not become) owned by Loan Parties or Affiliated Practices (or Subsidiaries of Affiliated Practices) and such Restricted Subsidiary subsequently becomes a Loan Party (or such assets are subsequently transferred to a Loan Party), the amount available under such limit shall be proportionately increased as a result thereof (up to the original amount of such cap);</w:t>
      </w:r>
    </w:p>
    <w:p>
      <w:pPr>
        <w:spacing w:after="0" w:line="188" w:lineRule="exact"/>
        <w:rPr>
          <w:sz w:val="20"/>
          <w:szCs w:val="20"/>
          <w:color w:val="auto"/>
        </w:rPr>
      </w:pPr>
    </w:p>
    <w:p>
      <w:pPr>
        <w:jc w:val="both"/>
        <w:ind w:left="740" w:right="260" w:firstLine="754"/>
        <w:spacing w:after="0" w:line="256" w:lineRule="auto"/>
        <w:tabs>
          <w:tab w:leader="none" w:pos="1884"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held by such Person described in the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Investment was not acquired by such Person in contemplation of such acquisition, merger, amalgamation, consolidation, transfer or conveyance;</w:t>
      </w:r>
    </w:p>
    <w:p>
      <w:pPr>
        <w:spacing w:after="0" w:line="172" w:lineRule="exact"/>
        <w:rPr>
          <w:rFonts w:ascii="Times New Roman" w:cs="Times New Roman" w:eastAsia="Times New Roman" w:hAnsi="Times New Roman"/>
          <w:sz w:val="20"/>
          <w:szCs w:val="20"/>
          <w:color w:val="auto"/>
        </w:rPr>
      </w:pPr>
    </w:p>
    <w:p>
      <w:pPr>
        <w:ind w:right="180" w:firstLine="745"/>
        <w:spacing w:after="0" w:line="254" w:lineRule="auto"/>
        <w:tabs>
          <w:tab w:leader="none" w:pos="11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in securities or other assets not constituting Cash Equivalents or Investment Grade Securities and received in connection with an Asset Sale made in accordance with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any other disposition of assets not constituting an Asset Sale;</w:t>
      </w:r>
    </w:p>
    <w:p>
      <w:pPr>
        <w:spacing w:after="0" w:line="174" w:lineRule="exact"/>
        <w:rPr>
          <w:rFonts w:ascii="Times New Roman" w:cs="Times New Roman" w:eastAsia="Times New Roman" w:hAnsi="Times New Roman"/>
          <w:sz w:val="20"/>
          <w:szCs w:val="20"/>
          <w:color w:val="auto"/>
        </w:rPr>
      </w:pPr>
    </w:p>
    <w:p>
      <w:pPr>
        <w:ind w:firstLine="745"/>
        <w:spacing w:after="0" w:line="245" w:lineRule="auto"/>
        <w:tabs>
          <w:tab w:leader="none" w:pos="11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existing on the Closing Date or made pursuant to binding commitments in effect on the Closing Date, in each of the foregoing cases with respect to any such Investment or binding commitment in effect on the Closing Date in excess of $7,500,000, as set forth on </w:t>
      </w:r>
      <w:r>
        <w:rPr>
          <w:rFonts w:ascii="Times New Roman" w:cs="Times New Roman" w:eastAsia="Times New Roman" w:hAnsi="Times New Roman"/>
          <w:sz w:val="20"/>
          <w:szCs w:val="20"/>
          <w:u w:val="single" w:color="auto"/>
          <w:color w:val="auto"/>
        </w:rPr>
        <w:t>Schedule 7.05</w:t>
      </w:r>
      <w:r>
        <w:rPr>
          <w:rFonts w:ascii="Times New Roman" w:cs="Times New Roman" w:eastAsia="Times New Roman" w:hAnsi="Times New Roman"/>
          <w:sz w:val="20"/>
          <w:szCs w:val="20"/>
          <w:color w:val="auto"/>
        </w:rPr>
        <w:t xml:space="preserve">, or an Investment consisting of any extension, modification, replacement, renewal or reinvestment of any Investment or binding commitment existing on the Closing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such Investment or binding commitment may be increased only (a) as required by the terms of such Investment or binding commitment as in</w:t>
      </w: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70" w:name="page171"/>
    <w:bookmarkEnd w:id="170"/>
    <w:p>
      <w:pPr>
        <w:ind w:right="140"/>
        <w:spacing w:after="0" w:line="269" w:lineRule="auto"/>
        <w:rPr>
          <w:sz w:val="20"/>
          <w:szCs w:val="20"/>
          <w:color w:val="auto"/>
        </w:rPr>
      </w:pPr>
      <w:r>
        <w:rPr>
          <w:rFonts w:ascii="Times New Roman" w:cs="Times New Roman" w:eastAsia="Times New Roman" w:hAnsi="Times New Roman"/>
          <w:sz w:val="20"/>
          <w:szCs w:val="20"/>
          <w:color w:val="auto"/>
        </w:rPr>
        <w:t>existence on the Closing Date (including as a result of the accrual or accretion of interest or original issue discount or the issuance of pay-in-kind securities) or (b) as otherwise permitted under this Agreement;</w:t>
      </w:r>
    </w:p>
    <w:p>
      <w:pPr>
        <w:spacing w:after="0" w:line="159" w:lineRule="exact"/>
        <w:rPr>
          <w:sz w:val="20"/>
          <w:szCs w:val="20"/>
          <w:color w:val="auto"/>
        </w:rPr>
      </w:pPr>
    </w:p>
    <w:p>
      <w:pPr>
        <w:ind w:left="1140" w:hanging="395"/>
        <w:spacing w:after="0"/>
        <w:tabs>
          <w:tab w:leader="none" w:pos="11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acquired by the Borrower or any Restricted Subsidiary:</w:t>
      </w:r>
    </w:p>
    <w:p>
      <w:pPr>
        <w:spacing w:after="0" w:line="215" w:lineRule="exact"/>
        <w:rPr>
          <w:rFonts w:ascii="Times New Roman" w:cs="Times New Roman" w:eastAsia="Times New Roman" w:hAnsi="Times New Roman"/>
          <w:sz w:val="20"/>
          <w:szCs w:val="20"/>
          <w:color w:val="auto"/>
        </w:rPr>
      </w:pPr>
    </w:p>
    <w:p>
      <w:pPr>
        <w:ind w:left="740" w:right="40" w:firstLine="754"/>
        <w:spacing w:after="0" w:line="249" w:lineRule="auto"/>
        <w:tabs>
          <w:tab w:leader="none" w:pos="1884"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exchange for any other Investment, accounts receivable or indorsements for collection or deposit held by the Borrower or any Restricted Subsidiary in connection with or as a result of a bankruptcy, workout, reorganization or recapitalization of, or settlement of delinquent accounts and disputes with or judgments against, the issuer of such other Investment or accounts receivable (including any trade creditor or customer);</w:t>
      </w:r>
    </w:p>
    <w:p>
      <w:pPr>
        <w:spacing w:after="0" w:line="179"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satisfaction of judgments against other Persons;</w:t>
      </w:r>
    </w:p>
    <w:p>
      <w:pPr>
        <w:spacing w:after="0" w:line="215" w:lineRule="exact"/>
        <w:rPr>
          <w:rFonts w:ascii="Times New Roman" w:cs="Times New Roman" w:eastAsia="Times New Roman" w:hAnsi="Times New Roman"/>
          <w:sz w:val="20"/>
          <w:szCs w:val="20"/>
          <w:color w:val="auto"/>
        </w:rPr>
      </w:pPr>
    </w:p>
    <w:p>
      <w:pPr>
        <w:ind w:left="740" w:right="620" w:firstLine="754"/>
        <w:spacing w:after="0" w:line="269" w:lineRule="auto"/>
        <w:tabs>
          <w:tab w:leader="none" w:pos="1884"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a foreclosure by the Borrower or any Restricted Subsidiary with respect to any secured Investment or other transfer of title with respect to any secured Investment in default; or</w:t>
      </w:r>
    </w:p>
    <w:p>
      <w:pPr>
        <w:spacing w:after="0" w:line="159" w:lineRule="exact"/>
        <w:rPr>
          <w:rFonts w:ascii="Times New Roman" w:cs="Times New Roman" w:eastAsia="Times New Roman" w:hAnsi="Times New Roman"/>
          <w:sz w:val="20"/>
          <w:szCs w:val="20"/>
          <w:color w:val="auto"/>
        </w:rPr>
      </w:pPr>
    </w:p>
    <w:p>
      <w:pPr>
        <w:ind w:left="740" w:firstLine="754"/>
        <w:spacing w:after="0" w:line="249" w:lineRule="auto"/>
        <w:tabs>
          <w:tab w:leader="none" w:pos="1884"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settlement, compromise or resolution of (i) litigation, arbitration or other disputes or (ii) obligations of trade creditors or customers that were incurred in the ordinary course of business or consistent with industry practice of the Borrower or any Restricted Subsidiary, including pursuant to any plan of reorganization or similar arrangement upon the bankruptcy or insolvency of any trade creditor or customer;</w:t>
      </w:r>
    </w:p>
    <w:p>
      <w:pPr>
        <w:spacing w:after="0" w:line="17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Hedging Obligations permitted under </w:t>
      </w:r>
      <w:r>
        <w:rPr>
          <w:rFonts w:ascii="Times New Roman" w:cs="Times New Roman" w:eastAsia="Times New Roman" w:hAnsi="Times New Roman"/>
          <w:sz w:val="20"/>
          <w:szCs w:val="20"/>
          <w:u w:val="single" w:color="auto"/>
          <w:color w:val="auto"/>
        </w:rPr>
        <w:t>Section 7.02(2)(j)</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60" w:firstLine="745"/>
        <w:spacing w:after="0" w:line="249" w:lineRule="auto"/>
        <w:tabs>
          <w:tab w:leader="none" w:pos="11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in a Similar Business taken together with all other Investments made pursuant to this </w:t>
      </w:r>
      <w:r>
        <w:rPr>
          <w:rFonts w:ascii="Times New Roman" w:cs="Times New Roman" w:eastAsia="Times New Roman" w:hAnsi="Times New Roman"/>
          <w:sz w:val="20"/>
          <w:szCs w:val="20"/>
          <w:u w:val="single" w:color="auto"/>
          <w:color w:val="auto"/>
        </w:rPr>
        <w:t>clause (8)</w:t>
      </w:r>
      <w:r>
        <w:rPr>
          <w:rFonts w:ascii="Times New Roman" w:cs="Times New Roman" w:eastAsia="Times New Roman" w:hAnsi="Times New Roman"/>
          <w:sz w:val="20"/>
          <w:szCs w:val="20"/>
          <w:color w:val="auto"/>
        </w:rPr>
        <w:t xml:space="preserve"> that are at that time outstanding not to exceed (as of the date such Investment is made) the greater of (a) $32,500,000 and (b) 30% of Consolidated EBITDA of the Borrower determined at the time of making of such Investment for the most recently ended Test Period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w:t>
      </w:r>
    </w:p>
    <w:p>
      <w:pPr>
        <w:spacing w:after="0" w:line="179" w:lineRule="exact"/>
        <w:rPr>
          <w:rFonts w:ascii="Times New Roman" w:cs="Times New Roman" w:eastAsia="Times New Roman" w:hAnsi="Times New Roman"/>
          <w:sz w:val="20"/>
          <w:szCs w:val="20"/>
          <w:color w:val="auto"/>
        </w:rPr>
      </w:pPr>
    </w:p>
    <w:p>
      <w:pPr>
        <w:ind w:right="280" w:firstLine="745"/>
        <w:spacing w:after="0" w:line="254" w:lineRule="auto"/>
        <w:tabs>
          <w:tab w:leader="none" w:pos="11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the payment for which consists of Equity Interests (other than Disqualified Stock) of the Borrower or any Parent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Equity Interests will not increase the amount available for Restricted Payments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right="280" w:firstLine="745"/>
        <w:spacing w:after="0" w:line="246" w:lineRule="auto"/>
        <w:tabs>
          <w:tab w:leader="none" w:pos="11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guarantees of Indebtedness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(in the case of any guarantee by a Borrower or any Subsidiary Guarantor of Indebtedness incurred by any Restricted Subsidiary that is not a Guarantor, to the extent such guarantee would be permitted by another clause of this definition of Permitted Investments), performance guarantees and Contingent Obligations incurred in the ordinary course of business or consistent with industry practice and (b) the creation of Liens on the assets of the Borrower or any Restricted Subsidiary in compliance with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right="620" w:firstLine="745"/>
        <w:spacing w:after="0" w:line="269" w:lineRule="auto"/>
        <w:tabs>
          <w:tab w:leader="none" w:pos="11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to the extent it constitutes an Investment that is permitted by and made in accordance with the provisions of </w:t>
      </w:r>
      <w:r>
        <w:rPr>
          <w:rFonts w:ascii="Times New Roman" w:cs="Times New Roman" w:eastAsia="Times New Roman" w:hAnsi="Times New Roman"/>
          <w:sz w:val="20"/>
          <w:szCs w:val="20"/>
          <w:u w:val="single" w:color="auto"/>
          <w:color w:val="auto"/>
        </w:rPr>
        <w:t>Section 6.15(2)</w:t>
      </w:r>
      <w:r>
        <w:rPr>
          <w:rFonts w:ascii="Times New Roman" w:cs="Times New Roman" w:eastAsia="Times New Roman" w:hAnsi="Times New Roman"/>
          <w:sz w:val="20"/>
          <w:szCs w:val="20"/>
          <w:color w:val="auto"/>
        </w:rPr>
        <w:t xml:space="preserve"> (except transactions described in </w:t>
      </w:r>
      <w:r>
        <w:rPr>
          <w:rFonts w:ascii="Times New Roman" w:cs="Times New Roman" w:eastAsia="Times New Roman" w:hAnsi="Times New Roman"/>
          <w:sz w:val="20"/>
          <w:szCs w:val="20"/>
          <w:u w:val="single" w:color="auto"/>
          <w:color w:val="auto"/>
        </w:rPr>
        <w:t>clauses (a)(i)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of such Section);</w:t>
      </w:r>
    </w:p>
    <w:p>
      <w:pPr>
        <w:spacing w:after="0" w:line="36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413" w:right="379" w:bottom="1440" w:gutter="0" w:footer="0" w:header="0"/>
        </w:sectPr>
      </w:pPr>
    </w:p>
    <w:bookmarkStart w:id="171" w:name="page172"/>
    <w:bookmarkEnd w:id="171"/>
    <w:p>
      <w:pPr>
        <w:ind w:left="-360" w:right="120" w:firstLine="745"/>
        <w:spacing w:after="0" w:line="254" w:lineRule="auto"/>
        <w:tabs>
          <w:tab w:leader="none" w:pos="7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purchases and acquisitions of inventory, supplies, material, services, equipment or similar assets or the licensing, sublicensing or contribution of intellectual property pursuant to joint marketing arrangements with other Persons;</w:t>
      </w:r>
    </w:p>
    <w:p>
      <w:pPr>
        <w:spacing w:after="0" w:line="174" w:lineRule="exact"/>
        <w:rPr>
          <w:rFonts w:ascii="Times New Roman" w:cs="Times New Roman" w:eastAsia="Times New Roman" w:hAnsi="Times New Roman"/>
          <w:sz w:val="20"/>
          <w:szCs w:val="20"/>
          <w:color w:val="auto"/>
        </w:rPr>
      </w:pPr>
    </w:p>
    <w:p>
      <w:pPr>
        <w:ind w:left="-360" w:right="40" w:firstLine="745"/>
        <w:spacing w:after="0" w:line="249" w:lineRule="auto"/>
        <w:tabs>
          <w:tab w:leader="none" w:pos="7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taken together with all other Investments made pursuant to this </w:t>
      </w:r>
      <w:r>
        <w:rPr>
          <w:rFonts w:ascii="Times New Roman" w:cs="Times New Roman" w:eastAsia="Times New Roman" w:hAnsi="Times New Roman"/>
          <w:sz w:val="20"/>
          <w:szCs w:val="20"/>
          <w:u w:val="single" w:color="auto"/>
          <w:color w:val="auto"/>
        </w:rPr>
        <w:t>clause (13)</w:t>
      </w:r>
      <w:r>
        <w:rPr>
          <w:rFonts w:ascii="Times New Roman" w:cs="Times New Roman" w:eastAsia="Times New Roman" w:hAnsi="Times New Roman"/>
          <w:sz w:val="20"/>
          <w:szCs w:val="20"/>
          <w:color w:val="auto"/>
        </w:rPr>
        <w:t xml:space="preserve"> that are at that time outstanding, not to exceed (as of the date such Investment is made) the greater of (a) $27,000,000 and (b) 25% of Consolidated EBITDA of the Borrower determined at the time of making such Investment for the most recently ended Test Period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w:t>
      </w:r>
    </w:p>
    <w:p>
      <w:pPr>
        <w:spacing w:after="0" w:line="179" w:lineRule="exact"/>
        <w:rPr>
          <w:rFonts w:ascii="Times New Roman" w:cs="Times New Roman" w:eastAsia="Times New Roman" w:hAnsi="Times New Roman"/>
          <w:sz w:val="20"/>
          <w:szCs w:val="20"/>
          <w:color w:val="auto"/>
        </w:rPr>
      </w:pPr>
    </w:p>
    <w:p>
      <w:pPr>
        <w:ind w:left="-360" w:right="40" w:firstLine="745"/>
        <w:spacing w:after="0" w:line="249" w:lineRule="auto"/>
        <w:tabs>
          <w:tab w:leader="none" w:pos="7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or relating to a Securitization Subsidiary that, in the good faith determination of the Borrower, are necessary or advisable to effect any Qualified Securitization Facility (including distributions or payments of Securitization Fees) or any repurchase obligation in connection therewith (including the contribution or lending of Cash Equivalents to Subsidiaries to finance the purchase of such assets from the Borrower or any Restricted Subsidiary or to otherwise fund required reserves);</w:t>
      </w:r>
    </w:p>
    <w:p>
      <w:pPr>
        <w:spacing w:after="0" w:line="179" w:lineRule="exact"/>
        <w:rPr>
          <w:rFonts w:ascii="Times New Roman" w:cs="Times New Roman" w:eastAsia="Times New Roman" w:hAnsi="Times New Roman"/>
          <w:sz w:val="20"/>
          <w:szCs w:val="20"/>
          <w:color w:val="auto"/>
        </w:rPr>
      </w:pPr>
    </w:p>
    <w:p>
      <w:pPr>
        <w:ind w:left="-360" w:right="40" w:firstLine="745"/>
        <w:spacing w:after="0" w:line="246" w:lineRule="auto"/>
        <w:tabs>
          <w:tab w:leader="none" w:pos="7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or guarantees of Indebtedness of, officers, directors, employees, Related Professionals, consultants, independent contractors and members of management (in each case, including, without limitation, of any Affiliated Practice) in an aggregate outstanding amount not in excess of the greater of (a) $5,500,000 and (b) 5% of Consolidated EBITDA of the Borrower determined at the time of making such Investment for the most recently ended Test Period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w:t>
      </w:r>
    </w:p>
    <w:p>
      <w:pPr>
        <w:spacing w:after="0" w:line="184" w:lineRule="exact"/>
        <w:rPr>
          <w:rFonts w:ascii="Times New Roman" w:cs="Times New Roman" w:eastAsia="Times New Roman" w:hAnsi="Times New Roman"/>
          <w:sz w:val="20"/>
          <w:szCs w:val="20"/>
          <w:color w:val="auto"/>
        </w:rPr>
      </w:pPr>
    </w:p>
    <w:p>
      <w:pPr>
        <w:ind w:left="-360" w:right="40" w:firstLine="745"/>
        <w:spacing w:after="0" w:line="244" w:lineRule="auto"/>
        <w:tabs>
          <w:tab w:leader="none" w:pos="7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employees, directors, officers, members of management, independent contractors, Related Professionals and consultants (in each case, including, without limitation, of any Affiliated Practice), as applicable, for business-related travel expenses, moving expenses, payroll advances and other similar expenses or payroll expenses, in each case incurred in the ordinary course of business or consistent with past practice or consistent with industry practice or to future, present and former employees, directors, officers, members of management, independent contractors, Related Professionals and consultants (and their Controlled Investment Affiliates and Immediate Family Members) (in each case, including, without limitation, of any Affiliated Practice, as applicable) to fund such Person’s purchase of Equity Interests of the Borrower or any Parent Company;</w:t>
      </w:r>
    </w:p>
    <w:p>
      <w:pPr>
        <w:spacing w:after="0" w:line="185"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loans or extensions of trade credit or prepayments to suppliers or loans or advances made to distributors, in each case, in the ordinary course of business or consistent with past practice or consistent with industry practice by the Borrower or any Restricted Subsidiary;</w:t>
      </w:r>
    </w:p>
    <w:p>
      <w:pPr>
        <w:spacing w:after="0" w:line="174" w:lineRule="exact"/>
        <w:rPr>
          <w:rFonts w:ascii="Times New Roman" w:cs="Times New Roman" w:eastAsia="Times New Roman" w:hAnsi="Times New Roman"/>
          <w:sz w:val="20"/>
          <w:szCs w:val="20"/>
          <w:color w:val="auto"/>
        </w:rPr>
      </w:pPr>
    </w:p>
    <w:p>
      <w:pPr>
        <w:ind w:left="-360" w:right="360" w:firstLine="745"/>
        <w:spacing w:after="0" w:line="254" w:lineRule="auto"/>
        <w:tabs>
          <w:tab w:leader="none" w:pos="7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any Subsidiary, any joint venture or any Affiliated Practice (or Subsidiary of any Affiliated Practice) in connection with intercompany cash management arrangements or related activities arising in the ordinary course of business or consistent with industry practice;</w:t>
      </w:r>
    </w:p>
    <w:p>
      <w:pPr>
        <w:spacing w:after="0" w:line="174" w:lineRule="exact"/>
        <w:rPr>
          <w:rFonts w:ascii="Times New Roman" w:cs="Times New Roman" w:eastAsia="Times New Roman" w:hAnsi="Times New Roman"/>
          <w:sz w:val="20"/>
          <w:szCs w:val="20"/>
          <w:color w:val="auto"/>
        </w:rPr>
      </w:pPr>
    </w:p>
    <w:p>
      <w:pPr>
        <w:ind w:left="-360" w:right="560" w:firstLine="745"/>
        <w:spacing w:after="0" w:line="269" w:lineRule="auto"/>
        <w:tabs>
          <w:tab w:leader="none" w:pos="7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purchases and acquisitions of assets or services in the ordinary course of business or consistent with industry practice;</w:t>
      </w:r>
    </w:p>
    <w:p>
      <w:pPr>
        <w:spacing w:after="0" w:line="159" w:lineRule="exact"/>
        <w:rPr>
          <w:rFonts w:ascii="Times New Roman" w:cs="Times New Roman" w:eastAsia="Times New Roman" w:hAnsi="Times New Roman"/>
          <w:sz w:val="20"/>
          <w:szCs w:val="20"/>
          <w:color w:val="auto"/>
        </w:rPr>
      </w:pPr>
    </w:p>
    <w:p>
      <w:pPr>
        <w:ind w:left="-360" w:right="800" w:firstLine="745"/>
        <w:spacing w:after="0" w:line="269" w:lineRule="auto"/>
        <w:tabs>
          <w:tab w:leader="none" w:pos="7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the ordinary course of business or consistent with industry practice in connection with obtaining, maintaining or renewing client contracts and loans or advances made to distributors;</w:t>
      </w:r>
    </w:p>
    <w:p>
      <w:pPr>
        <w:spacing w:after="0" w:line="36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413" w:right="379" w:bottom="1440" w:gutter="0" w:footer="0" w:header="0"/>
        </w:sectPr>
      </w:pPr>
    </w:p>
    <w:bookmarkStart w:id="172" w:name="page173"/>
    <w:bookmarkEnd w:id="172"/>
    <w:p>
      <w:pPr>
        <w:ind w:left="-360" w:right="220" w:firstLine="745"/>
        <w:spacing w:after="0" w:line="254" w:lineRule="auto"/>
        <w:tabs>
          <w:tab w:leader="none" w:pos="7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industry practice;</w:t>
      </w:r>
    </w:p>
    <w:p>
      <w:pPr>
        <w:spacing w:after="0" w:line="174" w:lineRule="exact"/>
        <w:rPr>
          <w:rFonts w:ascii="Times New Roman" w:cs="Times New Roman" w:eastAsia="Times New Roman" w:hAnsi="Times New Roman"/>
          <w:sz w:val="20"/>
          <w:szCs w:val="20"/>
          <w:color w:val="auto"/>
        </w:rPr>
      </w:pPr>
    </w:p>
    <w:p>
      <w:pPr>
        <w:ind w:left="-360" w:right="180" w:firstLine="745"/>
        <w:spacing w:after="0" w:line="269" w:lineRule="auto"/>
        <w:tabs>
          <w:tab w:leader="none" w:pos="7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or other acquisition of any Indebtedness of the Borrower or any Restricted Subsidiary to the extent not otherwise prohibited hereunder;</w:t>
      </w:r>
    </w:p>
    <w:p>
      <w:pPr>
        <w:spacing w:after="0" w:line="159" w:lineRule="exact"/>
        <w:rPr>
          <w:rFonts w:ascii="Times New Roman" w:cs="Times New Roman" w:eastAsia="Times New Roman" w:hAnsi="Times New Roman"/>
          <w:sz w:val="20"/>
          <w:szCs w:val="20"/>
          <w:color w:val="auto"/>
        </w:rPr>
      </w:pPr>
    </w:p>
    <w:p>
      <w:pPr>
        <w:ind w:left="-360" w:firstLine="745"/>
        <w:spacing w:after="0" w:line="244" w:lineRule="auto"/>
        <w:tabs>
          <w:tab w:leader="none" w:pos="7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Unrestricted Subsidiaries or joint ventures, taken together with all other Investments made pursuant to this </w:t>
      </w:r>
      <w:r>
        <w:rPr>
          <w:rFonts w:ascii="Times New Roman" w:cs="Times New Roman" w:eastAsia="Times New Roman" w:hAnsi="Times New Roman"/>
          <w:sz w:val="20"/>
          <w:szCs w:val="20"/>
          <w:u w:val="single" w:color="auto"/>
          <w:color w:val="auto"/>
        </w:rPr>
        <w:t>clause (23)</w:t>
      </w:r>
      <w:r>
        <w:rPr>
          <w:rFonts w:ascii="Times New Roman" w:cs="Times New Roman" w:eastAsia="Times New Roman" w:hAnsi="Times New Roman"/>
          <w:sz w:val="20"/>
          <w:szCs w:val="20"/>
          <w:color w:val="auto"/>
        </w:rPr>
        <w:t xml:space="preserve"> that are at that time outstanding, without giving effect to the sale of an Unrestricted Subsidiary or joint venture to the extent the proceeds of such sale do not consist of, or have not been subsequently sold or transferred for, Cash Equivalents or marketable securities, not to exceed (as of the date such Investment is made) the greater of (a) $32,500,000 and (b) 30% of Consolidated EBITDA of the Borrower determined at the time of making of such Investment for the most recently ended Test Period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(with respect to the Borrower) will have occurred and be continuing or would occur as a consequence thereof;</w:t>
      </w:r>
    </w:p>
    <w:p>
      <w:pPr>
        <w:spacing w:after="0" w:line="185"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or consistent with industry practice consisting of Uniform Commercial Code Article 3 endorsements for collection or deposit and Article 4 customary trade arrangements with customers;</w:t>
      </w:r>
    </w:p>
    <w:p>
      <w:pPr>
        <w:spacing w:after="0" w:line="159" w:lineRule="exact"/>
        <w:rPr>
          <w:rFonts w:ascii="Times New Roman" w:cs="Times New Roman" w:eastAsia="Times New Roman" w:hAnsi="Times New Roman"/>
          <w:sz w:val="20"/>
          <w:szCs w:val="20"/>
          <w:color w:val="auto"/>
        </w:rPr>
      </w:pPr>
    </w:p>
    <w:p>
      <w:pPr>
        <w:ind w:left="-360" w:right="60" w:firstLine="745"/>
        <w:spacing w:after="0" w:line="249" w:lineRule="auto"/>
        <w:tabs>
          <w:tab w:leader="none" w:pos="7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by any Captive Insurance Subsidiary in connection with its provision of insurance to the Borrower or any of its Subsidiaries, which Investment is made in the ordinary course of business or consistent with industry practice of such Captive Insurance Subsidiary, or by reason of applicable Law, rule, regulation or order, or that is required or approved by any regulatory authority having jurisdiction over such Captive Insurance Subsidiary or its business, as applicable;</w:t>
      </w:r>
    </w:p>
    <w:p>
      <w:pPr>
        <w:spacing w:after="0" w:line="17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as part of, to effect or resulting from the Transactions;</w:t>
      </w:r>
    </w:p>
    <w:p>
      <w:pPr>
        <w:spacing w:after="0" w:line="215" w:lineRule="exact"/>
        <w:rPr>
          <w:rFonts w:ascii="Times New Roman" w:cs="Times New Roman" w:eastAsia="Times New Roman" w:hAnsi="Times New Roman"/>
          <w:sz w:val="20"/>
          <w:szCs w:val="20"/>
          <w:color w:val="auto"/>
        </w:rPr>
      </w:pPr>
    </w:p>
    <w:p>
      <w:pPr>
        <w:ind w:left="-360" w:firstLine="745"/>
        <w:spacing w:after="0" w:line="269" w:lineRule="auto"/>
        <w:tabs>
          <w:tab w:leader="none" w:pos="7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assets relating to non-qualified deferred payment plans in the ordinary course of business or consistent with industry practice;</w:t>
      </w:r>
    </w:p>
    <w:p>
      <w:pPr>
        <w:spacing w:after="0" w:line="159" w:lineRule="exact"/>
        <w:rPr>
          <w:rFonts w:ascii="Times New Roman" w:cs="Times New Roman" w:eastAsia="Times New Roman" w:hAnsi="Times New Roman"/>
          <w:sz w:val="20"/>
          <w:szCs w:val="20"/>
          <w:color w:val="auto"/>
        </w:rPr>
      </w:pPr>
    </w:p>
    <w:p>
      <w:pPr>
        <w:ind w:left="-360" w:right="80" w:firstLine="745"/>
        <w:spacing w:after="0" w:line="254" w:lineRule="auto"/>
        <w:tabs>
          <w:tab w:leader="none" w:pos="7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current liabilities owed to Unrestricted Subsidiaries or joint ventures incurred in the ordinary course of business or consistent with industry practice in connection with the cash management operations of the Borrower and its Subsidiaries;</w:t>
      </w:r>
    </w:p>
    <w:p>
      <w:pPr>
        <w:spacing w:after="0" w:line="174" w:lineRule="exact"/>
        <w:rPr>
          <w:rFonts w:ascii="Times New Roman" w:cs="Times New Roman" w:eastAsia="Times New Roman" w:hAnsi="Times New Roman"/>
          <w:sz w:val="20"/>
          <w:szCs w:val="20"/>
          <w:color w:val="auto"/>
        </w:rPr>
      </w:pPr>
    </w:p>
    <w:p>
      <w:pPr>
        <w:ind w:left="-360" w:right="20" w:firstLine="745"/>
        <w:spacing w:after="0" w:line="260" w:lineRule="auto"/>
        <w:tabs>
          <w:tab w:leader="none" w:pos="784"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acquisitions of obligations of one or more directors, officers or other employees or consultants, Related Professionals or independent contractors of any Parent Company, the Borrower, any Subsidiary of the Borrower, any Affiliated Practice or any Subsidiary of any Affiliated Practice in connection with such director’s, officer’s, employee’s consultant’s, Related Professional’s or independent contractor’s acquisition of Equity Interests of the Borrower or any direct or indirect parent of the Borrower, to the extent no cash is actually advanced by the Borrower or any Restricted Subsidiary to such directors, officers, employees, consultants, Related Professionals or independent contractors in connection with the acquisition of any such obligations;</w:t>
      </w:r>
    </w:p>
    <w:p>
      <w:pPr>
        <w:spacing w:after="0" w:line="172" w:lineRule="exact"/>
        <w:rPr>
          <w:rFonts w:ascii="Times New Roman" w:cs="Times New Roman" w:eastAsia="Times New Roman" w:hAnsi="Times New Roman"/>
          <w:sz w:val="19"/>
          <w:szCs w:val="19"/>
          <w:color w:val="auto"/>
        </w:rPr>
      </w:pPr>
    </w:p>
    <w:p>
      <w:pPr>
        <w:ind w:left="-360" w:right="40" w:firstLine="745"/>
        <w:spacing w:after="0" w:line="269" w:lineRule="auto"/>
        <w:tabs>
          <w:tab w:leader="none" w:pos="7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constituting promissory notes or other non-cash proceeds of dispositions of assets to the extent permitted under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36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3" w:name="page174"/>
    <w:bookmarkEnd w:id="173"/>
    <w:p>
      <w:pPr>
        <w:ind w:left="1143" w:hanging="395"/>
        <w:spacing w:after="0"/>
        <w:tabs>
          <w:tab w:leader="none" w:pos="1143"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resulting from pledges and deposits permitted pursuant to the definition of “Permitted Liens”;</w:t>
      </w:r>
    </w:p>
    <w:p>
      <w:pPr>
        <w:spacing w:after="0" w:line="215" w:lineRule="exact"/>
        <w:rPr>
          <w:rFonts w:ascii="Times New Roman" w:cs="Times New Roman" w:eastAsia="Times New Roman" w:hAnsi="Times New Roman"/>
          <w:sz w:val="20"/>
          <w:szCs w:val="20"/>
          <w:color w:val="auto"/>
        </w:rPr>
      </w:pPr>
    </w:p>
    <w:p>
      <w:pPr>
        <w:ind w:left="3" w:right="20" w:firstLine="745"/>
        <w:spacing w:after="0" w:line="246" w:lineRule="auto"/>
        <w:tabs>
          <w:tab w:leader="none" w:pos="114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any direct or indirect parent of the Borrower in lieu of and not in excess of the amount of (after giving effect to any other loans, advances or Restricted Payments in respect thereof) Restricted Payments to the extent permitted to be made in cash to such parent in accordance with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at such time, such Investment being treated for purposes of the applicable clause of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including any limitations, as if a Restricted Payment were made pursuant to such applicable clause;</w:t>
      </w:r>
    </w:p>
    <w:p>
      <w:pPr>
        <w:spacing w:after="0" w:line="184" w:lineRule="exact"/>
        <w:rPr>
          <w:rFonts w:ascii="Times New Roman" w:cs="Times New Roman" w:eastAsia="Times New Roman" w:hAnsi="Times New Roman"/>
          <w:sz w:val="20"/>
          <w:szCs w:val="20"/>
          <w:color w:val="auto"/>
        </w:rPr>
      </w:pPr>
    </w:p>
    <w:p>
      <w:pPr>
        <w:jc w:val="both"/>
        <w:ind w:left="3" w:right="60" w:firstLine="745"/>
        <w:spacing w:after="0" w:line="249" w:lineRule="auto"/>
        <w:tabs>
          <w:tab w:leader="none" w:pos="114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Investments if on a pro forma basis after giving effect to such Investment, the Total Net Leverage Ratio as of the last day of the Test Period most recently ended would be equal to or less than 2.00 to 1.00;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(with respect to the Borrower) will have occurred and be continuing or would occur as a consequence thereof;</w:t>
      </w:r>
    </w:p>
    <w:p>
      <w:pPr>
        <w:spacing w:after="0" w:line="179" w:lineRule="exact"/>
        <w:rPr>
          <w:rFonts w:ascii="Times New Roman" w:cs="Times New Roman" w:eastAsia="Times New Roman" w:hAnsi="Times New Roman"/>
          <w:sz w:val="20"/>
          <w:szCs w:val="20"/>
          <w:color w:val="auto"/>
        </w:rPr>
      </w:pPr>
    </w:p>
    <w:p>
      <w:pPr>
        <w:ind w:left="1143" w:hanging="395"/>
        <w:spacing w:after="0"/>
        <w:tabs>
          <w:tab w:leader="none" w:pos="1143"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Bond Hedge Transactions;</w:t>
      </w:r>
    </w:p>
    <w:p>
      <w:pPr>
        <w:spacing w:after="0" w:line="215" w:lineRule="exact"/>
        <w:rPr>
          <w:rFonts w:ascii="Times New Roman" w:cs="Times New Roman" w:eastAsia="Times New Roman" w:hAnsi="Times New Roman"/>
          <w:sz w:val="20"/>
          <w:szCs w:val="20"/>
          <w:color w:val="auto"/>
        </w:rPr>
      </w:pPr>
    </w:p>
    <w:p>
      <w:pPr>
        <w:ind w:left="3" w:right="120" w:firstLine="745"/>
        <w:spacing w:after="0" w:line="269" w:lineRule="auto"/>
        <w:tabs>
          <w:tab w:leader="none" w:pos="114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Holdings or any of its Restricted Subsidiaries assigned to, or repurchased or redeemed by, Holdings or any of its Restricted Subsidiaries to the extent not otherwise prohibited hereunder;</w:t>
      </w:r>
    </w:p>
    <w:p>
      <w:pPr>
        <w:spacing w:after="0" w:line="159" w:lineRule="exact"/>
        <w:rPr>
          <w:rFonts w:ascii="Times New Roman" w:cs="Times New Roman" w:eastAsia="Times New Roman" w:hAnsi="Times New Roman"/>
          <w:sz w:val="20"/>
          <w:szCs w:val="20"/>
          <w:color w:val="auto"/>
        </w:rPr>
      </w:pPr>
    </w:p>
    <w:p>
      <w:pPr>
        <w:ind w:left="3" w:firstLine="745"/>
        <w:spacing w:after="0" w:line="257" w:lineRule="auto"/>
        <w:tabs>
          <w:tab w:leader="none" w:pos="1543"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made by a Restricted Subsidiary that is not a Loan Party to the extent such Investments are financed with the proceeds received by such Restricted Subsidiary from an Investment in such Restricted Subsidiary by a Loan Party otherwise permitted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Investment may be made in any Unrestricted Subsidiary in reliance on this </w:t>
      </w:r>
      <w:r>
        <w:rPr>
          <w:rFonts w:ascii="Times New Roman" w:cs="Times New Roman" w:eastAsia="Times New Roman" w:hAnsi="Times New Roman"/>
          <w:sz w:val="19"/>
          <w:szCs w:val="19"/>
          <w:u w:val="single" w:color="auto"/>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notwithstanding the foregoing, for purposes of determining availability under this Agreement for making Restricted Payments and Investments, in the event any Restricted Subsidiary makes a Permitted Investment in an Unrestricted Subsidiary in a manner in which such Investment was first made by a Loan Party in a Restricted Subsidiary that is not a Loan Party and such Restricted Subsidiary that is not a Loan Party promptly thereafter, directly or indirectly, uses the proceeds of such Investment to make a further Investment in an Unrestricted Subsidiary in a manner otherwise permitted under this Agreement, such Investment will be deemed to have been made only by the applicable Loan Party into such Unrestricted Subsidiary;</w:t>
      </w:r>
    </w:p>
    <w:p>
      <w:pPr>
        <w:spacing w:after="0" w:line="175" w:lineRule="exact"/>
        <w:rPr>
          <w:rFonts w:ascii="Times New Roman" w:cs="Times New Roman" w:eastAsia="Times New Roman" w:hAnsi="Times New Roman"/>
          <w:sz w:val="19"/>
          <w:szCs w:val="19"/>
          <w:color w:val="auto"/>
        </w:rPr>
      </w:pPr>
    </w:p>
    <w:p>
      <w:pPr>
        <w:ind w:left="3" w:right="20" w:firstLine="745"/>
        <w:spacing w:after="0" w:line="258" w:lineRule="auto"/>
        <w:tabs>
          <w:tab w:leader="none" w:pos="1148"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Affiliated Practices (i) required in connection with the initial establishment thereof or (ii) in the ordinary course of business;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(X) all Investments made in an Affiliated Practice by the Borrower or any other Loan Party pursuant to this clause (37) shall be in the form of indebtedness owed to the Borrower or such other Loan Party, as applicable, and (Y) all Investments made in an Affiliated Practice by a Restricted Subsidiary (other than a Loan Party) pursuant to this clause</w:t>
      </w:r>
    </w:p>
    <w:p>
      <w:pPr>
        <w:ind w:left="383" w:hanging="383"/>
        <w:spacing w:after="0"/>
        <w:tabs>
          <w:tab w:leader="none" w:pos="38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in the form of indebtedness owed to such Restricted Subsidiary; and</w:t>
      </w:r>
    </w:p>
    <w:p>
      <w:pPr>
        <w:spacing w:after="0" w:line="193" w:lineRule="exact"/>
        <w:rPr>
          <w:rFonts w:ascii="Times New Roman" w:cs="Times New Roman" w:eastAsia="Times New Roman" w:hAnsi="Times New Roman"/>
          <w:sz w:val="20"/>
          <w:szCs w:val="20"/>
          <w:color w:val="auto"/>
        </w:rPr>
      </w:pPr>
    </w:p>
    <w:p>
      <w:pPr>
        <w:jc w:val="both"/>
        <w:ind w:left="3" w:right="40" w:firstLine="745"/>
        <w:spacing w:after="0" w:line="254" w:lineRule="auto"/>
        <w:tabs>
          <w:tab w:leader="none" w:pos="11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Borrower or any Restricted Subsidiary may enter into a Services Agreement with any Person in connection with such Person becoming an Affiliated Practice, and the entry into such Services Agreement shall constitute a Permitted Investment, if applicable.</w:t>
      </w:r>
    </w:p>
    <w:p>
      <w:pPr>
        <w:spacing w:after="0" w:line="174"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0"/>
          <w:szCs w:val="20"/>
          <w:color w:val="auto"/>
        </w:rPr>
        <w:t>Investments in Unrestricted Subsidiaries may only be made in reliance on clauses (13) and (23) above.</w:t>
      </w:r>
    </w:p>
    <w:p>
      <w:pPr>
        <w:spacing w:after="0" w:line="200" w:lineRule="exact"/>
        <w:rPr>
          <w:sz w:val="20"/>
          <w:szCs w:val="20"/>
          <w:color w:val="auto"/>
        </w:rPr>
      </w:pPr>
    </w:p>
    <w:p>
      <w:pPr>
        <w:spacing w:after="0" w:line="22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630555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13" w:right="359" w:bottom="1440" w:gutter="0" w:footer="0" w:header="0"/>
        </w:sectPr>
      </w:pPr>
    </w:p>
    <w:bookmarkStart w:id="174" w:name="page175"/>
    <w:bookmarkEnd w:id="174"/>
    <w:p>
      <w:pPr>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Junior Priority Refinancing Debt</w:t>
      </w:r>
      <w:r>
        <w:rPr>
          <w:rFonts w:ascii="Times New Roman" w:cs="Times New Roman" w:eastAsia="Times New Roman" w:hAnsi="Times New Roman"/>
          <w:sz w:val="20"/>
          <w:szCs w:val="20"/>
          <w:color w:val="auto"/>
        </w:rPr>
        <w:t xml:space="preserve">” means secured Indebtedness incurred by the Borrower and/or any Guarantor in the form of one or more series of junior lien secured notes, bonds or debentures or junior lien secured loans (and, if applicable, any Registered Equivalent Notes issued in exchange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Indebtedness is secured by a Lien on all or a portion of the Collateral on a junior priority basis to the Liens on Collateral securing the First Lien Obligations under this Agreement and is not secured by any property or assets of the Borrower or any Restricted Subsidiary other than the Collateral, (ii) such Indebtedness satisfies the applicable requirements set forth in the provisos in the definition of “Credit Agreement Refinancing Indebtedness,” (iii) the holders of such Indebtedness (or their Debt Representative) and the Administrative Agent and/or the Collateral Agent shall be party to an Intercreditor Agreement providing that the Liens on Collateral securing such obligations shall rank junior to the Liens on Collateral securing the First Lien Obligations under this Agreement and (iv) such Indebtedness is not at any time guaranteed by any Subsidiary of the Borrower other than Subsidiaries that are Guarantors.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 with respect to any Person:</w:t>
      </w:r>
    </w:p>
    <w:p>
      <w:pPr>
        <w:spacing w:after="0" w:line="220" w:lineRule="exact"/>
        <w:rPr>
          <w:sz w:val="20"/>
          <w:szCs w:val="20"/>
          <w:color w:val="auto"/>
        </w:rPr>
      </w:pPr>
    </w:p>
    <w:p>
      <w:pPr>
        <w:ind w:left="1900" w:hanging="395"/>
        <w:spacing w:after="0"/>
        <w:tabs>
          <w:tab w:leader="none" w:pos="19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any Loan Document;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pledges or deposits made in connection with:</w:t>
      </w:r>
    </w:p>
    <w:p>
      <w:pPr>
        <w:spacing w:after="0" w:line="215" w:lineRule="exact"/>
        <w:rPr>
          <w:rFonts w:ascii="Times New Roman" w:cs="Times New Roman" w:eastAsia="Times New Roman" w:hAnsi="Times New Roman"/>
          <w:sz w:val="20"/>
          <w:szCs w:val="20"/>
          <w:color w:val="auto"/>
        </w:rPr>
      </w:pPr>
    </w:p>
    <w:p>
      <w:pPr>
        <w:ind w:left="1500" w:right="440" w:firstLine="754"/>
        <w:spacing w:after="0" w:line="269" w:lineRule="auto"/>
        <w:tabs>
          <w:tab w:leader="none" w:pos="264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workers’ compensation laws, unemployment insurance, health, disability or employee benefits or other social security laws or similar legislation or regulations,</w:t>
      </w:r>
    </w:p>
    <w:p>
      <w:pPr>
        <w:spacing w:after="0" w:line="159" w:lineRule="exact"/>
        <w:rPr>
          <w:rFonts w:ascii="Times New Roman" w:cs="Times New Roman" w:eastAsia="Times New Roman" w:hAnsi="Times New Roman"/>
          <w:sz w:val="20"/>
          <w:szCs w:val="20"/>
          <w:color w:val="auto"/>
        </w:rPr>
      </w:pPr>
    </w:p>
    <w:p>
      <w:pPr>
        <w:ind w:left="1500" w:right="140" w:firstLine="754"/>
        <w:spacing w:after="0" w:line="249" w:lineRule="auto"/>
        <w:tabs>
          <w:tab w:leader="none" w:pos="264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insurance-related obligations (including in respect of deductibles, self-insured retention amounts and premiums and adjustments thereto) or indemnification obligations of (including obligations in respect of letters of credit, bank guarantees or similar documents or instruments for the benefit of) insurance carriers providing property, casualty or liability insurance or otherwise supporting the payment of items set forth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or</w:t>
      </w:r>
    </w:p>
    <w:p>
      <w:pPr>
        <w:spacing w:after="0" w:line="179" w:lineRule="exact"/>
        <w:rPr>
          <w:rFonts w:ascii="Times New Roman" w:cs="Times New Roman" w:eastAsia="Times New Roman" w:hAnsi="Times New Roman"/>
          <w:sz w:val="20"/>
          <w:szCs w:val="20"/>
          <w:color w:val="auto"/>
        </w:rPr>
      </w:pPr>
    </w:p>
    <w:p>
      <w:pPr>
        <w:ind w:left="1500" w:right="60" w:firstLine="754"/>
        <w:spacing w:after="0" w:line="243" w:lineRule="auto"/>
        <w:tabs>
          <w:tab w:leader="none" w:pos="264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bids, tenders, contracts, statutory obligations, surety, indemnity, warranty, release, appeal or similar bonds, or with regard to other regulatory requirements, completion guarantees, stay, customs and appeal bonds, performance bonds, bankers’ acceptance facilities, and other obligations of like nature (including those to secure health, safety and environmental obligations) (other than for the payment of Indebtedness) or leases to which such Person is a party, or deposits to secure public or statutory obligations of such Person or deposits of cash, Cash Equivalents or U.S. government bonds to secure surety or appeal bonds to which such Person is a party, or deposits as security for the payment of rent, contested Taxes or import duties and obligations in respect of letters of credit, bank guarantees or similar instruments that have been posted to support the same, in each case incurred in the ordinary course of business or consistent with industry practice;</w:t>
      </w:r>
    </w:p>
    <w:p>
      <w:pPr>
        <w:spacing w:after="0" w:line="185" w:lineRule="exact"/>
        <w:rPr>
          <w:rFonts w:ascii="Times New Roman" w:cs="Times New Roman" w:eastAsia="Times New Roman" w:hAnsi="Times New Roman"/>
          <w:sz w:val="20"/>
          <w:szCs w:val="20"/>
          <w:color w:val="auto"/>
        </w:rPr>
      </w:pPr>
    </w:p>
    <w:p>
      <w:pPr>
        <w:ind w:left="760" w:right="60" w:firstLine="745"/>
        <w:spacing w:after="0" w:line="245" w:lineRule="auto"/>
        <w:tabs>
          <w:tab w:leader="none" w:pos="190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such as landlords’, carriers’, warehousemen’s, materialmen’s, repairmen’s, construction, mechanics’ or other similar Liens, or landlord Liens specifically created by contract (a) for sums not yet overdue for a period of more than sixty (60) days or, if more than sixty (60) days overdue, are unfiled and no other action has been taken to enforce such Liens, (b) being contested in good faith by appropriate actions or other Liens arising out of or securing judgments or awards against such Person with respect to which such Person will then be proceeding with an appeal or other proceedings for review if such Liens are adequately bonded or adequate reserves with respect thereto are maintained on the books of such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5" w:name="page176"/>
    <w:bookmarkEnd w:id="175"/>
    <w:p>
      <w:pPr>
        <w:ind w:right="220"/>
        <w:spacing w:after="0" w:line="269" w:lineRule="auto"/>
        <w:rPr>
          <w:sz w:val="20"/>
          <w:szCs w:val="20"/>
          <w:color w:val="auto"/>
        </w:rPr>
      </w:pPr>
      <w:r>
        <w:rPr>
          <w:rFonts w:ascii="Times New Roman" w:cs="Times New Roman" w:eastAsia="Times New Roman" w:hAnsi="Times New Roman"/>
          <w:sz w:val="20"/>
          <w:szCs w:val="20"/>
          <w:color w:val="auto"/>
        </w:rPr>
        <w:t>Person in accordance with GAAP or (c) where the failure to pay or discharge the same would not reasonably be expected to have, individually or in the aggregate, a Material Adverse Effect;</w:t>
      </w:r>
    </w:p>
    <w:p>
      <w:pPr>
        <w:spacing w:after="0" w:line="159" w:lineRule="exact"/>
        <w:rPr>
          <w:sz w:val="20"/>
          <w:szCs w:val="20"/>
          <w:color w:val="auto"/>
        </w:rPr>
      </w:pPr>
    </w:p>
    <w:p>
      <w:pPr>
        <w:ind w:right="40" w:firstLine="745"/>
        <w:spacing w:after="0" w:line="246"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other governmental charges (i) that are not yet overdue for more than thirty (30) days or not yet payable or not subject to penalties for nonpayment or which are being contested in good faith by appropriate actions if adequate reserves with respect thereto are maintained on the books of such Person in accordance with GAAP or (ii) where the failure to pay or discharge the same would not reasonably be expected to have, individually or in the aggregate, a Material Adverse Effect;</w:t>
      </w:r>
    </w:p>
    <w:p>
      <w:pPr>
        <w:spacing w:after="0" w:line="184" w:lineRule="exact"/>
        <w:rPr>
          <w:rFonts w:ascii="Times New Roman" w:cs="Times New Roman" w:eastAsia="Times New Roman" w:hAnsi="Times New Roman"/>
          <w:sz w:val="20"/>
          <w:szCs w:val="20"/>
          <w:color w:val="auto"/>
        </w:rPr>
      </w:pPr>
    </w:p>
    <w:p>
      <w:pPr>
        <w:ind w:firstLine="745"/>
        <w:spacing w:after="0" w:line="249"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issuers of performance, surety, bid, indemnity, warranty, release, appeal or similar bonds, instruments or obligations or with respect to regulatory requirements or letters of credit or banker’s acceptance issued, and completion guarantees provided, in each case, pursuant to the request of and for the account of such Person in the ordinary course of its business or consistent with past practice or industry practice;</w:t>
      </w:r>
    </w:p>
    <w:p>
      <w:pPr>
        <w:spacing w:after="0" w:line="179" w:lineRule="exact"/>
        <w:rPr>
          <w:rFonts w:ascii="Times New Roman" w:cs="Times New Roman" w:eastAsia="Times New Roman" w:hAnsi="Times New Roman"/>
          <w:sz w:val="20"/>
          <w:szCs w:val="20"/>
          <w:color w:val="auto"/>
        </w:rPr>
      </w:pPr>
    </w:p>
    <w:p>
      <w:pPr>
        <w:ind w:right="20" w:firstLine="745"/>
        <w:spacing w:after="0" w:line="244"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survey exceptions, encumbrances, ground leases, easements, restrictions, protrusions, encroachments or reservations of, or rights of others for, licenses, rights-of-way, servitudes, sewers, electric lines, drains, telegraph, telephone and cable television lines and other similar purposes, or zoning, building codes or other restrictions (including minor defects or irregularities in title and similar encumbrances) as to the use of real properties or Liens incidental to the conduct of the business of such Person or to the ownership of its properties that were not incurred in connection with Indebtedness and that do not in the aggregate materially impair their use in the operation of the business of such Person and exceptions on Mortgage Policies insuring Liens granted on Mortgaged Properties;</w:t>
      </w:r>
    </w:p>
    <w:p>
      <w:pPr>
        <w:spacing w:after="0" w:line="185" w:lineRule="exact"/>
        <w:rPr>
          <w:rFonts w:ascii="Times New Roman" w:cs="Times New Roman" w:eastAsia="Times New Roman" w:hAnsi="Times New Roman"/>
          <w:sz w:val="20"/>
          <w:szCs w:val="20"/>
          <w:color w:val="auto"/>
        </w:rPr>
      </w:pPr>
    </w:p>
    <w:p>
      <w:pPr>
        <w:ind w:right="100" w:firstLine="745"/>
        <w:spacing w:after="0" w:line="246"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Indebtedness, Disqualified Stock or Preferred Stock permitted to be incurred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(c)(ii)</w:t>
      </w:r>
      <w:r>
        <w:rPr>
          <w:rFonts w:ascii="Times New Roman" w:cs="Times New Roman" w:eastAsia="Times New Roman" w:hAnsi="Times New Roman"/>
          <w:sz w:val="20"/>
          <w:szCs w:val="20"/>
          <w:color w:val="auto"/>
        </w:rPr>
        <w:t xml:space="preserve"> of the definition of “Permitted Ratio Debt”, </w:t>
      </w:r>
      <w:r>
        <w:rPr>
          <w:rFonts w:ascii="Times New Roman" w:cs="Times New Roman" w:eastAsia="Times New Roman" w:hAnsi="Times New Roman"/>
          <w:sz w:val="20"/>
          <w:szCs w:val="20"/>
          <w:u w:val="single" w:color="auto"/>
          <w:color w:val="auto"/>
        </w:rPr>
        <w:t>clauses (d)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w:t>
      </w:r>
      <w:r>
        <w:rPr>
          <w:rFonts w:ascii="Times New Roman" w:cs="Times New Roman" w:eastAsia="Times New Roman" w:hAnsi="Times New Roman"/>
          <w:sz w:val="20"/>
          <w:szCs w:val="20"/>
          <w:color w:val="auto"/>
        </w:rPr>
        <w:t xml:space="preserve"> (which such Liens shall be secured on a junior basis to the Liens securing the Obligations),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(gg)</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or, with respect to assumed or acquired Indebtedness, Disqualified Stock or Preferred Stock not incurred in contemplation of the relevant investment or acquisition, </w:t>
      </w:r>
      <w:r>
        <w:rPr>
          <w:rFonts w:ascii="Times New Roman" w:cs="Times New Roman" w:eastAsia="Times New Roman" w:hAnsi="Times New Roman"/>
          <w:sz w:val="20"/>
          <w:szCs w:val="20"/>
          <w:u w:val="single" w:color="auto"/>
          <w:color w:val="auto"/>
        </w:rPr>
        <w:t>clause (n)(II)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4" w:lineRule="exact"/>
        <w:rPr>
          <w:rFonts w:ascii="Times New Roman" w:cs="Times New Roman" w:eastAsia="Times New Roman" w:hAnsi="Times New Roman"/>
          <w:sz w:val="20"/>
          <w:szCs w:val="20"/>
          <w:color w:val="auto"/>
        </w:rPr>
      </w:pPr>
    </w:p>
    <w:p>
      <w:pPr>
        <w:ind w:left="740" w:firstLine="754"/>
        <w:spacing w:after="0" w:line="245" w:lineRule="auto"/>
        <w:tabs>
          <w:tab w:leader="none" w:pos="1884"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relating to any Indebtedness, Disqualified Stock or Preferred Stock permitted to be incurred pursuant to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relate only to obligations relating to Refinancing Indebtedness that is secured by Liens on the same assets as the assets securing the Refinanced Debt (as defined in the definition of Refinancing Indebtedness),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improvements, accessions, proceeds or dividends or distributions in respect thereof and after-acquired property, or serves to refund, refinance, extend, replace, renew or defease Indebtedness, Disqualified Stock or Preferred Stock incurred under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740" w:right="140" w:firstLine="754"/>
        <w:spacing w:after="0" w:line="269" w:lineRule="auto"/>
        <w:tabs>
          <w:tab w:leader="none" w:pos="1884"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relating to Indebtedness or Disqualified Stock permitted to be incurred pursuant to </w:t>
      </w:r>
      <w:r>
        <w:rPr>
          <w:rFonts w:ascii="Times New Roman" w:cs="Times New Roman" w:eastAsia="Times New Roman" w:hAnsi="Times New Roman"/>
          <w:sz w:val="20"/>
          <w:szCs w:val="20"/>
          <w:u w:val="single" w:color="auto"/>
          <w:color w:val="auto"/>
        </w:rPr>
        <w:t>clauses (w)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(ff)</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extend only to the assets of Subsidiaries that are not Guarantors;</w:t>
      </w:r>
    </w:p>
    <w:p>
      <w:pPr>
        <w:spacing w:after="0" w:line="159" w:lineRule="exact"/>
        <w:rPr>
          <w:rFonts w:ascii="Times New Roman" w:cs="Times New Roman" w:eastAsia="Times New Roman" w:hAnsi="Times New Roman"/>
          <w:sz w:val="20"/>
          <w:szCs w:val="20"/>
          <w:color w:val="auto"/>
        </w:rPr>
      </w:pPr>
    </w:p>
    <w:p>
      <w:pPr>
        <w:ind w:left="740" w:right="60" w:firstLine="754"/>
        <w:spacing w:after="0" w:line="254" w:lineRule="auto"/>
        <w:tabs>
          <w:tab w:leader="none" w:pos="1884"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Indebtedness, Disqualified Stock or Preferred Stock permitted to be incurred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extend only to the assets so purchased, replaced, leased, expanded, constructed, installed, repaired or improved and proceeds and products thereof;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individual</w:t>
      </w:r>
    </w:p>
    <w:p>
      <w:pPr>
        <w:spacing w:after="0" w:line="3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76" w:name="page177"/>
    <w:bookmarkEnd w:id="176"/>
    <w:p>
      <w:pPr>
        <w:ind w:left="380" w:right="120"/>
        <w:spacing w:after="0" w:line="269" w:lineRule="auto"/>
        <w:rPr>
          <w:sz w:val="20"/>
          <w:szCs w:val="20"/>
          <w:color w:val="auto"/>
        </w:rPr>
      </w:pPr>
      <w:r>
        <w:rPr>
          <w:rFonts w:ascii="Times New Roman" w:cs="Times New Roman" w:eastAsia="Times New Roman" w:hAnsi="Times New Roman"/>
          <w:sz w:val="20"/>
          <w:szCs w:val="20"/>
          <w:color w:val="auto"/>
        </w:rPr>
        <w:t>financings of assets provided by a counterparty may be cross-collateralized to other financings of assets provided by such counterparty;</w:t>
      </w:r>
    </w:p>
    <w:p>
      <w:pPr>
        <w:spacing w:after="0" w:line="159" w:lineRule="exact"/>
        <w:rPr>
          <w:sz w:val="20"/>
          <w:szCs w:val="20"/>
          <w:color w:val="auto"/>
        </w:rPr>
      </w:pPr>
    </w:p>
    <w:p>
      <w:pPr>
        <w:ind w:left="380" w:right="40" w:firstLine="754"/>
        <w:spacing w:after="0" w:line="246" w:lineRule="auto"/>
        <w:tabs>
          <w:tab w:leader="none" w:pos="1524"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such Liens secure Indebtedness for borrowed money incurred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of “Permitted Ratio Debt” or </w:t>
      </w:r>
      <w:r>
        <w:rPr>
          <w:rFonts w:ascii="Times New Roman" w:cs="Times New Roman" w:eastAsia="Times New Roman" w:hAnsi="Times New Roman"/>
          <w:sz w:val="20"/>
          <w:szCs w:val="20"/>
          <w:u w:val="single" w:color="auto"/>
          <w:color w:val="auto"/>
        </w:rPr>
        <w:t>clauses (l)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(other than, for the avoidance of doubt, any Indebtedness that is not secured by Collateral or is unsecured under </w:t>
      </w:r>
      <w:r>
        <w:rPr>
          <w:rFonts w:ascii="Times New Roman" w:cs="Times New Roman" w:eastAsia="Times New Roman" w:hAnsi="Times New Roman"/>
          <w:sz w:val="20"/>
          <w:szCs w:val="20"/>
          <w:u w:val="single" w:color="auto"/>
          <w:color w:val="auto"/>
        </w:rPr>
        <w:t>clauses (n)</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or clause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(with respect to Indebtedness incurred pursuant to the foregoing provisions), such Liens shall be subject to the applicable Intercreditor Agreement(s) (except to the extent any such Liens are on property that does not constitute Collateral); and</w:t>
      </w:r>
    </w:p>
    <w:p>
      <w:pPr>
        <w:spacing w:after="0" w:line="184" w:lineRule="exact"/>
        <w:rPr>
          <w:rFonts w:ascii="Times New Roman" w:cs="Times New Roman" w:eastAsia="Times New Roman" w:hAnsi="Times New Roman"/>
          <w:sz w:val="20"/>
          <w:szCs w:val="20"/>
          <w:color w:val="auto"/>
        </w:rPr>
      </w:pPr>
    </w:p>
    <w:p>
      <w:pPr>
        <w:jc w:val="both"/>
        <w:ind w:left="380" w:right="140" w:firstLine="754"/>
        <w:spacing w:after="0" w:line="264" w:lineRule="auto"/>
        <w:tabs>
          <w:tab w:leader="none" w:pos="1524"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obligations in respect of assumed or acquired Indebtedness, Disqualified Stock or Preferred Stock not incurred in contemplation of the relevant investment or acquisition permitted to be assumed pursuant to </w:t>
      </w:r>
      <w:r>
        <w:rPr>
          <w:rFonts w:ascii="Times New Roman" w:cs="Times New Roman" w:eastAsia="Times New Roman" w:hAnsi="Times New Roman"/>
          <w:sz w:val="19"/>
          <w:szCs w:val="19"/>
          <w:u w:val="single" w:color="auto"/>
          <w:color w:val="auto"/>
        </w:rPr>
        <w:t>clause</w:t>
      </w:r>
    </w:p>
    <w:p>
      <w:pPr>
        <w:ind w:left="380" w:firstLine="5"/>
        <w:spacing w:after="0" w:line="241" w:lineRule="auto"/>
        <w:tabs>
          <w:tab w:leader="none" w:pos="660" w:val="left"/>
        </w:tabs>
        <w:numPr>
          <w:ilvl w:val="0"/>
          <w:numId w:val="13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are solely on acquired property or the assets of the acquired entity (other than after-acquired property that is (i) affixed or incorporated into the property covered by such Lien, (ii)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w:t>
      </w:r>
    </w:p>
    <w:p>
      <w:pPr>
        <w:spacing w:after="0" w:line="183" w:lineRule="exact"/>
        <w:rPr>
          <w:sz w:val="20"/>
          <w:szCs w:val="20"/>
          <w:color w:val="auto"/>
        </w:rPr>
      </w:pPr>
    </w:p>
    <w:p>
      <w:pPr>
        <w:ind w:left="-360" w:right="340" w:firstLine="745"/>
        <w:spacing w:after="0" w:line="300" w:lineRule="auto"/>
        <w:tabs>
          <w:tab w:leader="none" w:pos="78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existing, or provided for under binding contracts existing, on the Closing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Lien securing obligations in an aggregate amount on the Closing Date in excess of $7,500,000 shall be set forth on </w:t>
      </w:r>
      <w:r>
        <w:rPr>
          <w:rFonts w:ascii="Times New Roman" w:cs="Times New Roman" w:eastAsia="Times New Roman" w:hAnsi="Times New Roman"/>
          <w:sz w:val="19"/>
          <w:szCs w:val="19"/>
          <w:u w:val="single" w:color="auto"/>
          <w:color w:val="auto"/>
        </w:rPr>
        <w:t>Schedule 7.01</w:t>
      </w:r>
      <w:r>
        <w:rPr>
          <w:rFonts w:ascii="Times New Roman" w:cs="Times New Roman" w:eastAsia="Times New Roman" w:hAnsi="Times New Roman"/>
          <w:sz w:val="19"/>
          <w:szCs w:val="19"/>
          <w:color w:val="auto"/>
        </w:rPr>
        <w:t>);</w:t>
      </w:r>
    </w:p>
    <w:p>
      <w:pPr>
        <w:spacing w:after="0" w:line="132" w:lineRule="exact"/>
        <w:rPr>
          <w:rFonts w:ascii="Times New Roman" w:cs="Times New Roman" w:eastAsia="Times New Roman" w:hAnsi="Times New Roman"/>
          <w:sz w:val="19"/>
          <w:szCs w:val="19"/>
          <w:color w:val="auto"/>
        </w:rPr>
      </w:pPr>
    </w:p>
    <w:p>
      <w:pPr>
        <w:ind w:left="-360" w:right="120" w:firstLine="745"/>
        <w:spacing w:after="0" w:line="254" w:lineRule="auto"/>
        <w:tabs>
          <w:tab w:leader="none" w:pos="7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or shares of stock or other assets of a Person at the time such Person becomes a Subsidiary;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such Liens are not created or incurred in connection with, or in contemplation of, such other Person becoming such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Subsidiary;</w:t>
      </w:r>
    </w:p>
    <w:p>
      <w:pPr>
        <w:spacing w:after="0" w:line="174" w:lineRule="exact"/>
        <w:rPr>
          <w:rFonts w:ascii="Times New Roman" w:cs="Times New Roman" w:eastAsia="Times New Roman" w:hAnsi="Times New Roman"/>
          <w:sz w:val="20"/>
          <w:szCs w:val="20"/>
          <w:color w:val="auto"/>
        </w:rPr>
      </w:pPr>
    </w:p>
    <w:p>
      <w:pPr>
        <w:ind w:left="-360" w:right="20" w:firstLine="745"/>
        <w:spacing w:after="0" w:line="242" w:lineRule="auto"/>
        <w:tabs>
          <w:tab w:leader="none" w:pos="7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or other assets at the time the Borrower or a Restricted Subsidiary acquired the property or such other assets, including any acquisition by means of a merger, amalgamation or consolidation with or into the Borrower or any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are not created or incurred in connection with, or in contemplation of, such acquisition, amalgamation, merger or consolidation) and any replacement, extension or renewal of any such Lien (to the extent the Indebtedness and other obligations secured by such replacement, extension or renewal Liens are permitted by this Agreement);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such replacement, extension or renewal Liens do not cover any property other than the property that was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Liens prior to such replacement, extension or renewal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after-acquired property that is (i) affixed or incorporated into the property covered by such Lien, (ii)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w:t>
      </w:r>
    </w:p>
    <w:p>
      <w:pPr>
        <w:spacing w:after="0" w:line="189" w:lineRule="exact"/>
        <w:rPr>
          <w:rFonts w:ascii="Times New Roman" w:cs="Times New Roman" w:eastAsia="Times New Roman" w:hAnsi="Times New Roman"/>
          <w:sz w:val="20"/>
          <w:szCs w:val="20"/>
          <w:color w:val="auto"/>
        </w:rPr>
      </w:pPr>
    </w:p>
    <w:p>
      <w:pPr>
        <w:ind w:left="-360" w:right="400" w:firstLine="745"/>
        <w:spacing w:after="0" w:line="269" w:lineRule="auto"/>
        <w:tabs>
          <w:tab w:leader="none" w:pos="7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of Indebtedness or other obligations of a Restricted Subsidiary owing to the Borrower or another Restricted Subsidiary permitted to be incurred in accordance with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(a) Hedging Obligations and (b) obligations in respect of Cash Management Services;</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7" w:name="page178"/>
    <w:bookmarkEnd w:id="177"/>
    <w:p>
      <w:pPr>
        <w:ind w:left="-360" w:right="60" w:firstLine="745"/>
        <w:spacing w:after="0" w:line="254"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proceeds of any Person securing such Person’s accounts payable or similar obligations in respect of bankers’ acceptances or letters of credit issued or created for the account of such Person to facilitate the purchase, shipment or storage of such inventory or other goods;</w:t>
      </w:r>
    </w:p>
    <w:p>
      <w:pPr>
        <w:spacing w:after="0" w:line="174" w:lineRule="exact"/>
        <w:rPr>
          <w:rFonts w:ascii="Times New Roman" w:cs="Times New Roman" w:eastAsia="Times New Roman" w:hAnsi="Times New Roman"/>
          <w:sz w:val="20"/>
          <w:szCs w:val="20"/>
          <w:color w:val="auto"/>
        </w:rPr>
      </w:pPr>
    </w:p>
    <w:p>
      <w:pPr>
        <w:ind w:left="-360" w:right="80" w:firstLine="745"/>
        <w:spacing w:after="0" w:line="246"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leases, subleases, licenses or sublicenses (or other similar agreement under which the Borrower or any Restricted Subsidiary has granted rights to end users to access and use the Borrower’s or any Restricted Subsidiary’s IP Rights, products, technologies or services) that do not either (i) materially interfere with the business of the Borrower and its Restricted Subsidiaries, taken as a whole, or (ii) secure any Indebtedness and (y) licenses or sublicenses granted by Holdings or any of its Restricted Subsidiaries to customers in the ordinary course of business;</w:t>
      </w:r>
    </w:p>
    <w:p>
      <w:pPr>
        <w:spacing w:after="0" w:line="184" w:lineRule="exact"/>
        <w:rPr>
          <w:rFonts w:ascii="Times New Roman" w:cs="Times New Roman" w:eastAsia="Times New Roman" w:hAnsi="Times New Roman"/>
          <w:sz w:val="20"/>
          <w:szCs w:val="20"/>
          <w:color w:val="auto"/>
        </w:rPr>
      </w:pPr>
    </w:p>
    <w:p>
      <w:pPr>
        <w:ind w:left="-360" w:firstLine="745"/>
        <w:spacing w:after="0" w:line="249"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Uniform Commercial Code (or equivalent statutes) financing statement filings regarding operating leases, consignments or accounts entered into by the Borrower and its Restricted Subsidiaries in the ordinary course of business or consistent with industry practice or purported Liens evidenced by the filing of precautionary Uniform Commercial Code (or equivalent statutes) financing statements or similar public filings;</w:t>
      </w:r>
    </w:p>
    <w:p>
      <w:pPr>
        <w:spacing w:after="0" w:line="17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the Borrower or any Guarantor;</w:t>
      </w:r>
    </w:p>
    <w:p>
      <w:pPr>
        <w:spacing w:after="0" w:line="215" w:lineRule="exact"/>
        <w:rPr>
          <w:rFonts w:ascii="Times New Roman" w:cs="Times New Roman" w:eastAsia="Times New Roman" w:hAnsi="Times New Roman"/>
          <w:sz w:val="20"/>
          <w:szCs w:val="20"/>
          <w:color w:val="auto"/>
        </w:rPr>
      </w:pPr>
    </w:p>
    <w:p>
      <w:pPr>
        <w:ind w:left="-360" w:right="580" w:firstLine="745"/>
        <w:spacing w:after="0" w:line="269"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equipment or vehicles of the Borrower or any Restricted Subsidiary granted in the ordinary course of business or consistent with industry practice;</w:t>
      </w:r>
    </w:p>
    <w:p>
      <w:pPr>
        <w:spacing w:after="0" w:line="159" w:lineRule="exact"/>
        <w:rPr>
          <w:rFonts w:ascii="Times New Roman" w:cs="Times New Roman" w:eastAsia="Times New Roman" w:hAnsi="Times New Roman"/>
          <w:sz w:val="20"/>
          <w:szCs w:val="20"/>
          <w:color w:val="auto"/>
        </w:rPr>
      </w:pPr>
    </w:p>
    <w:p>
      <w:pPr>
        <w:ind w:left="-360" w:right="100" w:firstLine="745"/>
        <w:spacing w:after="0" w:line="249"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accounts receivable, Securitization Assets and related assets incurred in connection with a Qualified Securitization Facility and Liens on any receivables transferred in connection with a Receivables Financing Transaction, including Liens on such receivables resulting from precautionary UCC filings or from re-characterization of any such sale as a financing or a loan;</w:t>
      </w:r>
    </w:p>
    <w:p>
      <w:pPr>
        <w:spacing w:after="0" w:line="179" w:lineRule="exact"/>
        <w:rPr>
          <w:rFonts w:ascii="Times New Roman" w:cs="Times New Roman" w:eastAsia="Times New Roman" w:hAnsi="Times New Roman"/>
          <w:sz w:val="20"/>
          <w:szCs w:val="20"/>
          <w:color w:val="auto"/>
        </w:rPr>
      </w:pPr>
    </w:p>
    <w:p>
      <w:pPr>
        <w:ind w:left="-360" w:firstLine="745"/>
        <w:spacing w:after="0" w:line="241"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any modification, refinancing, refunding, extension, renewal or replacement (or successive modification, refinancing, refunding, extensions, renewals or replacements) as a whole, or in part, of any Indebtedness, Disqualified Stock or Preferred Stock secured by any Lien referred to in </w:t>
      </w:r>
      <w:r>
        <w:rPr>
          <w:rFonts w:ascii="Times New Roman" w:cs="Times New Roman" w:eastAsia="Times New Roman" w:hAnsi="Times New Roman"/>
          <w:sz w:val="20"/>
          <w:szCs w:val="20"/>
          <w:u w:val="single" w:color="auto"/>
          <w:color w:val="auto"/>
        </w:rPr>
        <w:t>clauses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clause (19)</w:t>
      </w:r>
      <w:r>
        <w:rPr>
          <w:rFonts w:ascii="Times New Roman" w:cs="Times New Roman" w:eastAsia="Times New Roman" w:hAnsi="Times New Roman"/>
          <w:sz w:val="20"/>
          <w:szCs w:val="20"/>
          <w:color w:val="auto"/>
        </w:rPr>
        <w:t xml:space="preserve"> of this definition, in each case, solely to the extent such modification, refinancing, refunding, extension, renewal or replacement of such Indebtedness, Disqualified Stock or Preferred Stock is not prohibited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new Lien will be limited to all or part of the same property that was subject to the original Lien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improvements, accessions, proceeds or dividends or distributions in respect thereof and after-acquired property), (b) the Indebtedness, Disqualified Stock or Preferred Stock secured by such Lien at such time is not increased to any amount greater than the sum of (i) the outstanding principal amount or, if greater, committed amount of the Indebtedness, Disqualified Stock or Preferred Stock described under such </w:t>
      </w:r>
      <w:r>
        <w:rPr>
          <w:rFonts w:ascii="Times New Roman" w:cs="Times New Roman" w:eastAsia="Times New Roman" w:hAnsi="Times New Roman"/>
          <w:sz w:val="20"/>
          <w:szCs w:val="20"/>
          <w:u w:val="single" w:color="auto"/>
          <w:color w:val="auto"/>
        </w:rPr>
        <w:t>clauses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clause (19)</w:t>
      </w:r>
      <w:r>
        <w:rPr>
          <w:rFonts w:ascii="Times New Roman" w:cs="Times New Roman" w:eastAsia="Times New Roman" w:hAnsi="Times New Roman"/>
          <w:sz w:val="20"/>
          <w:szCs w:val="20"/>
          <w:color w:val="auto"/>
        </w:rPr>
        <w:t xml:space="preserve"> at the time the original Lien became a Permitted Lien hereunder,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any accrued and unpaid interest on the Indebtedness, any accrued and unpaid dividends on the Preferred Stock, and any accrued and unpaid dividends on the Disqualified Stock being so refinanced, extended, replaced, refunded, renewed or defeased,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(iii) the amount of any tender premium or penalty or premium required to be paid under the terms of the instrument or documents governing such refinanced Indebtedness, Preferred Stock or Disqualified Stock and any defeasance costs and any fees and expenses (including original issue discount, upfront fees, underwriting, arrangement and similar fees) incurred in connection with the issuance of such new Indebtedness, Preferred Stock or Disqualified Stock or the extension, replacement, refunding,</w:t>
      </w:r>
    </w:p>
    <w:p>
      <w:pPr>
        <w:spacing w:after="0" w:line="4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13" w:right="359" w:bottom="1440" w:gutter="0" w:footer="0" w:header="0"/>
        </w:sectPr>
      </w:pPr>
    </w:p>
    <w:bookmarkStart w:id="178" w:name="page179"/>
    <w:bookmarkEnd w:id="178"/>
    <w:p>
      <w:pPr>
        <w:spacing w:after="0" w:line="263" w:lineRule="auto"/>
        <w:rPr>
          <w:sz w:val="20"/>
          <w:szCs w:val="20"/>
          <w:color w:val="auto"/>
        </w:rPr>
      </w:pPr>
      <w:r>
        <w:rPr>
          <w:rFonts w:ascii="Times New Roman" w:cs="Times New Roman" w:eastAsia="Times New Roman" w:hAnsi="Times New Roman"/>
          <w:sz w:val="19"/>
          <w:szCs w:val="19"/>
          <w:color w:val="auto"/>
        </w:rPr>
        <w:t>refinancing, renewal or defeasance of such refinanced Indebtedness, Preferred Stock or Disqualified Stock, (c) to the extent required by the terms hereof in connection with the original incurrence of Indebtedness so modified, refinanced, refunded, extended, renewed or replaced, to the extent such Indebtedness as modified, refinanced, refunded, extended, renewed or replaced is secured by Liens on the Collateral, such Liens shall be subject to an applicable Intercreditor Agreement and (d) such Liens have the same or junior priority as the original Liens (or the priority of such Lien shall otherwise be permitted under the applicable initial Basket);</w:t>
      </w:r>
    </w:p>
    <w:p>
      <w:pPr>
        <w:spacing w:after="0" w:line="166" w:lineRule="exact"/>
        <w:rPr>
          <w:sz w:val="20"/>
          <w:szCs w:val="20"/>
          <w:color w:val="auto"/>
        </w:rPr>
      </w:pPr>
    </w:p>
    <w:p>
      <w:pPr>
        <w:ind w:right="20" w:firstLine="745"/>
        <w:spacing w:after="0" w:line="254"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made or other security provided to secure liability to insurance brokers, carriers, underwriters or self-insurance arrangements, including Liens on insurance policies and the proceeds thereof securing the financing of the premiums with respect thereto;</w:t>
      </w:r>
    </w:p>
    <w:p>
      <w:pPr>
        <w:spacing w:after="0" w:line="174" w:lineRule="exact"/>
        <w:rPr>
          <w:rFonts w:ascii="Times New Roman" w:cs="Times New Roman" w:eastAsia="Times New Roman" w:hAnsi="Times New Roman"/>
          <w:sz w:val="20"/>
          <w:szCs w:val="20"/>
          <w:color w:val="auto"/>
        </w:rPr>
      </w:pPr>
    </w:p>
    <w:p>
      <w:pPr>
        <w:ind w:firstLine="745"/>
        <w:spacing w:after="0" w:line="249"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an aggregate outstanding amount not to exceed (as of the date any such Lien is incurred) the greater of (a) $27,000,000 and (b) 25% of Consolidated EBITDA of the Borrower determined at the time of incurrence of such Lien for the most recently ended Test Period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which, at the election of the Borrower, shall be subject to the applicable Intercreditor Agreement(s);</w:t>
      </w:r>
    </w:p>
    <w:p>
      <w:pPr>
        <w:spacing w:after="0" w:line="179" w:lineRule="exact"/>
        <w:rPr>
          <w:rFonts w:ascii="Times New Roman" w:cs="Times New Roman" w:eastAsia="Times New Roman" w:hAnsi="Times New Roman"/>
          <w:sz w:val="20"/>
          <w:szCs w:val="20"/>
          <w:color w:val="auto"/>
        </w:rPr>
      </w:pPr>
    </w:p>
    <w:p>
      <w:pPr>
        <w:ind w:right="260" w:firstLine="745"/>
        <w:spacing w:after="0" w:line="269"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right="280" w:firstLine="745"/>
        <w:spacing w:after="0" w:line="249"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prior rights of consignees and their lenders under consignment arrangements entered into in the ordinary course of business or consistent with industry practice, (b) Liens arising out of conditional sale, title retention or similar arrangements for the sale of goods in the ordinary course of business or consistent with industry practice and (c) Liens arising by operation of law under Article 2 of the Uniform Commercial Code;</w:t>
      </w:r>
    </w:p>
    <w:p>
      <w:pPr>
        <w:spacing w:after="0" w:line="17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Section 8.01(7)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00" w:firstLine="745"/>
        <w:spacing w:after="0" w:line="245"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 of a collection bank arising under Section 4-208 or 4-210 of the Uniform Commercial Code on items in the course of collection, (b) attaching to commodity trading accounts or other brokerage accounts incurred in the ordinary course of business or consistent with industry practice and (c) in favor of banking or other institutions or other electronic payment service providers arising as a matter of law or under general terms and conditions encumbering deposits or margin deposits or other funds maintained with such institution (including the right of setoff) and that are within the general parameters customary in the banking industry;</w:t>
      </w:r>
    </w:p>
    <w:p>
      <w:pPr>
        <w:spacing w:after="0" w:line="184" w:lineRule="exact"/>
        <w:rPr>
          <w:rFonts w:ascii="Times New Roman" w:cs="Times New Roman" w:eastAsia="Times New Roman" w:hAnsi="Times New Roman"/>
          <w:sz w:val="20"/>
          <w:szCs w:val="20"/>
          <w:color w:val="auto"/>
        </w:rPr>
      </w:pPr>
    </w:p>
    <w:p>
      <w:pPr>
        <w:ind w:right="400" w:firstLine="745"/>
        <w:spacing w:after="0" w:line="269"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deemed to exist in connection with Investments in repurchase agreements permitted under this Agreement;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such Liens do not extend to assets other than those that are subject to such repurchase agreements;</w:t>
      </w:r>
    </w:p>
    <w:p>
      <w:pPr>
        <w:spacing w:after="0" w:line="159" w:lineRule="exact"/>
        <w:rPr>
          <w:rFonts w:ascii="Times New Roman" w:cs="Times New Roman" w:eastAsia="Times New Roman" w:hAnsi="Times New Roman"/>
          <w:sz w:val="20"/>
          <w:szCs w:val="20"/>
          <w:color w:val="auto"/>
        </w:rPr>
      </w:pPr>
    </w:p>
    <w:p>
      <w:pPr>
        <w:ind w:right="160" w:firstLine="745"/>
        <w:spacing w:after="0" w:line="245"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(a) relating to the establishment of depository relations with banks or other deposit-taking financial institutions or other electronic payment service providers and not given in connection with the issuance of Indebtedness, (b) relating to pooled deposit or sweep accounts to permit satisfaction of overdraft or similar obligations incurred in the ordinary course of business or consistent with industry practice of the Borrower or any Restricted Subsidiary or (c) relating to purchase orders and other agreements entered into with customers of the Borrower or any Restricted Subsidiary in the ordinary course of business or consistent with industry practice;</w:t>
      </w: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79" w:name="page180"/>
    <w:bookmarkEnd w:id="179"/>
    <w:p>
      <w:pPr>
        <w:ind w:left="-360" w:right="80" w:firstLine="745"/>
        <w:spacing w:after="0" w:line="269" w:lineRule="auto"/>
        <w:tabs>
          <w:tab w:leader="none" w:pos="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proceeds (as defined in Article 9 of the Uniform Commercial Code) of assets sold that were subject to a Lien permitted hereunder;</w:t>
      </w:r>
    </w:p>
    <w:p>
      <w:pPr>
        <w:spacing w:after="0" w:line="159" w:lineRule="exact"/>
        <w:rPr>
          <w:rFonts w:ascii="Times New Roman" w:cs="Times New Roman" w:eastAsia="Times New Roman" w:hAnsi="Times New Roman"/>
          <w:sz w:val="20"/>
          <w:szCs w:val="20"/>
          <w:color w:val="auto"/>
        </w:rPr>
      </w:pPr>
    </w:p>
    <w:p>
      <w:pPr>
        <w:ind w:left="-360" w:right="240" w:firstLine="745"/>
        <w:spacing w:after="0" w:line="295" w:lineRule="auto"/>
        <w:tabs>
          <w:tab w:leader="none" w:pos="784"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encumbrance or restriction (including put, call arrangements, tag, drag, right of first refusal and similar rights) with respect to Capital Stock of any joint venture or similar arrangement pursuant to any joint venture or similar agreement;</w:t>
      </w:r>
    </w:p>
    <w:p>
      <w:pPr>
        <w:spacing w:after="0" w:line="137" w:lineRule="exact"/>
        <w:rPr>
          <w:rFonts w:ascii="Times New Roman" w:cs="Times New Roman" w:eastAsia="Times New Roman" w:hAnsi="Times New Roman"/>
          <w:sz w:val="19"/>
          <w:szCs w:val="19"/>
          <w:color w:val="auto"/>
        </w:rPr>
      </w:pPr>
    </w:p>
    <w:p>
      <w:pPr>
        <w:ind w:left="-360" w:right="120" w:firstLine="745"/>
        <w:spacing w:after="0" w:line="249" w:lineRule="auto"/>
        <w:tabs>
          <w:tab w:leader="none" w:pos="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 on cash advances or cash earnest money deposits in favor of the seller of any property to be acquired in an Investment permitted under this Agreement to be applied against the purchase price for such Investment and (b) consisting of a letter of intent or an agreement to sell, transfer, lease or otherwise dispose of any property in a transaction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360" w:firstLine="745"/>
        <w:spacing w:after="0" w:line="269" w:lineRule="auto"/>
        <w:tabs>
          <w:tab w:leader="none" w:pos="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subleases, licenses or sublicenses in respect of real property on which facilities owned or leased by the Borrower or any of its Subsidiaries are located;</w:t>
      </w:r>
    </w:p>
    <w:p>
      <w:pPr>
        <w:spacing w:after="0" w:line="15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connection with any Sale-Leaseback Transaction(s);</w:t>
      </w:r>
    </w:p>
    <w:p>
      <w:pPr>
        <w:spacing w:after="0" w:line="215"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Capital Stock or other securities of an Unrestricted Subsidiary;</w:t>
      </w:r>
    </w:p>
    <w:p>
      <w:pPr>
        <w:spacing w:after="0" w:line="215" w:lineRule="exact"/>
        <w:rPr>
          <w:rFonts w:ascii="Times New Roman" w:cs="Times New Roman" w:eastAsia="Times New Roman" w:hAnsi="Times New Roman"/>
          <w:sz w:val="20"/>
          <w:szCs w:val="20"/>
          <w:color w:val="auto"/>
        </w:rPr>
      </w:pPr>
    </w:p>
    <w:p>
      <w:pPr>
        <w:ind w:left="-360" w:right="100" w:firstLine="745"/>
        <w:spacing w:after="0" w:line="254" w:lineRule="auto"/>
        <w:tabs>
          <w:tab w:leader="none" w:pos="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sublessor, licensor or sublicensor or secured by a lessor’s, sublessor’s, licensor’s or sublicensor’s interest under leases, licenses or sublicenses entered into by the Borrower or any of the Restricted Subsidiaries in the ordinary course of business or consistent with industry practice;</w:t>
      </w:r>
    </w:p>
    <w:p>
      <w:pPr>
        <w:spacing w:after="0" w:line="174" w:lineRule="exact"/>
        <w:rPr>
          <w:rFonts w:ascii="Times New Roman" w:cs="Times New Roman" w:eastAsia="Times New Roman" w:hAnsi="Times New Roman"/>
          <w:sz w:val="20"/>
          <w:szCs w:val="20"/>
          <w:color w:val="auto"/>
        </w:rPr>
      </w:pPr>
    </w:p>
    <w:p>
      <w:pPr>
        <w:ind w:left="-360" w:right="140" w:firstLine="745"/>
        <w:spacing w:after="0" w:line="254" w:lineRule="auto"/>
        <w:tabs>
          <w:tab w:leader="none" w:pos="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with the owner or lessor of premises leased and operated by the Borrower or any of its Subsidiaries in the ordinary course of business or consistent with industry practice of the Borrower and such Subsidiary to secure the performance of the Borrower’s or such Subsidiary’s obligations under the terms of the lease for such premises;</w:t>
      </w:r>
    </w:p>
    <w:p>
      <w:pPr>
        <w:spacing w:after="0" w:line="174" w:lineRule="exact"/>
        <w:rPr>
          <w:rFonts w:ascii="Times New Roman" w:cs="Times New Roman" w:eastAsia="Times New Roman" w:hAnsi="Times New Roman"/>
          <w:sz w:val="20"/>
          <w:szCs w:val="20"/>
          <w:color w:val="auto"/>
        </w:rPr>
      </w:pPr>
    </w:p>
    <w:p>
      <w:pPr>
        <w:ind w:left="-360" w:right="180" w:firstLine="745"/>
        <w:spacing w:after="0" w:line="249" w:lineRule="auto"/>
        <w:tabs>
          <w:tab w:leader="none" w:pos="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of set-off, banker’s liens, netting arrangements and other Liens arising by operation of law or by the terms of documents of banks or other financial institutions in relation to the maintenance or administration of deposit accounts, securities accounts, cash management arrangements or in connection with the issuance of letters of credit, bank guarantees or other similar instruments;</w:t>
      </w:r>
    </w:p>
    <w:p>
      <w:pPr>
        <w:spacing w:after="0" w:line="175" w:lineRule="exact"/>
        <w:rPr>
          <w:rFonts w:ascii="Times New Roman" w:cs="Times New Roman" w:eastAsia="Times New Roman" w:hAnsi="Times New Roman"/>
          <w:sz w:val="20"/>
          <w:szCs w:val="20"/>
          <w:color w:val="auto"/>
        </w:rPr>
      </w:pPr>
    </w:p>
    <w:p>
      <w:pPr>
        <w:ind w:left="-360" w:right="440" w:firstLine="745"/>
        <w:spacing w:after="0" w:line="273" w:lineRule="auto"/>
        <w:tabs>
          <w:tab w:leader="none" w:pos="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and Cash Equivalents used to satisfy or discharge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satisfaction or discharge is permitted under this Agreement;</w:t>
      </w:r>
    </w:p>
    <w:p>
      <w:pPr>
        <w:spacing w:after="0" w:line="155" w:lineRule="exact"/>
        <w:rPr>
          <w:rFonts w:ascii="Times New Roman" w:cs="Times New Roman" w:eastAsia="Times New Roman" w:hAnsi="Times New Roman"/>
          <w:sz w:val="20"/>
          <w:szCs w:val="20"/>
          <w:color w:val="auto"/>
        </w:rPr>
      </w:pPr>
    </w:p>
    <w:p>
      <w:pPr>
        <w:ind w:left="-360" w:right="40" w:firstLine="745"/>
        <w:spacing w:after="0" w:line="254" w:lineRule="auto"/>
        <w:tabs>
          <w:tab w:leader="none" w:pos="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progress payments and advances from customers in the ordinary course of business or consistent with industry practice to the extent the same creates a Lien on the related inventory and proceeds thereof and Liens on property or assets under construction arising from progress or partial payments by a third party relating to such property or assets;</w:t>
      </w:r>
    </w:p>
    <w:p>
      <w:pPr>
        <w:spacing w:after="0" w:line="174" w:lineRule="exact"/>
        <w:rPr>
          <w:rFonts w:ascii="Times New Roman" w:cs="Times New Roman" w:eastAsia="Times New Roman" w:hAnsi="Times New Roman"/>
          <w:sz w:val="20"/>
          <w:szCs w:val="20"/>
          <w:color w:val="auto"/>
        </w:rPr>
      </w:pPr>
    </w:p>
    <w:p>
      <w:pPr>
        <w:ind w:left="-360" w:right="20" w:firstLine="745"/>
        <w:spacing w:after="0" w:line="245" w:lineRule="auto"/>
        <w:tabs>
          <w:tab w:leader="none" w:pos="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obligations in respect of (a) Indebtedness, Disqualified Stock or Preferred Stock permitted to be incurred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 with respect to assumed or acquired Indebtedness, Disqualified Stock or Preferred Stock not incurred in contemplation of the relevant investment or acquisition under </w:t>
      </w:r>
      <w:r>
        <w:rPr>
          <w:rFonts w:ascii="Times New Roman" w:cs="Times New Roman" w:eastAsia="Times New Roman" w:hAnsi="Times New Roman"/>
          <w:sz w:val="20"/>
          <w:szCs w:val="20"/>
          <w:u w:val="single" w:color="auto"/>
          <w:color w:val="auto"/>
        </w:rPr>
        <w:t>clause (n)</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(other than, for the avoidance of doubt, any unsecured Indebtedness under such </w:t>
      </w:r>
      <w:r>
        <w:rPr>
          <w:rFonts w:ascii="Times New Roman" w:cs="Times New Roman" w:eastAsia="Times New Roman" w:hAnsi="Times New Roman"/>
          <w:sz w:val="20"/>
          <w:szCs w:val="20"/>
          <w:u w:val="single" w:color="auto"/>
          <w:color w:val="auto"/>
        </w:rPr>
        <w:t>clause (n)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after giving pro forma effect to the incurrence of the then-proposed Indebtedness, Disqualified Stock or Preferred Stock (and without netting any cash received from the incurrence</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413" w:right="379" w:bottom="1440" w:gutter="0" w:footer="0" w:header="0"/>
        </w:sectPr>
      </w:pPr>
    </w:p>
    <w:bookmarkStart w:id="180" w:name="page181"/>
    <w:bookmarkEnd w:id="180"/>
    <w:p>
      <w:pPr>
        <w:spacing w:after="0" w:line="242" w:lineRule="auto"/>
        <w:rPr>
          <w:sz w:val="20"/>
          <w:szCs w:val="20"/>
          <w:color w:val="auto"/>
        </w:rPr>
      </w:pPr>
      <w:r>
        <w:rPr>
          <w:rFonts w:ascii="Times New Roman" w:cs="Times New Roman" w:eastAsia="Times New Roman" w:hAnsi="Times New Roman"/>
          <w:sz w:val="20"/>
          <w:szCs w:val="20"/>
          <w:color w:val="auto"/>
        </w:rPr>
        <w:t xml:space="preserve">of such proposed Indebtedness, Disqualified Stock or Preferred Stock), (i) (I) if such Indebtedness, Disqualified Stock or Preferred Stock is secured by Liens on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Liens on the Collateral that secure the First Lien Obligations (without regard to control of remedies) (“</w:t>
      </w:r>
      <w:r>
        <w:rPr>
          <w:rFonts w:ascii="Times New Roman" w:cs="Times New Roman" w:eastAsia="Times New Roman" w:hAnsi="Times New Roman"/>
          <w:sz w:val="20"/>
          <w:szCs w:val="20"/>
          <w:b w:val="1"/>
          <w:bCs w:val="1"/>
          <w:color w:val="auto"/>
        </w:rPr>
        <w:t>Pari Passu Lien Debt</w:t>
      </w:r>
      <w:r>
        <w:rPr>
          <w:rFonts w:ascii="Times New Roman" w:cs="Times New Roman" w:eastAsia="Times New Roman" w:hAnsi="Times New Roman"/>
          <w:sz w:val="20"/>
          <w:szCs w:val="20"/>
          <w:color w:val="auto"/>
        </w:rPr>
        <w:t>”) the First Lien Net Leverage Ratio for the Test Period most recently ended calculated on a pro forma basis after giving effect to any such incurrence does not exceed 2.50 to 1.00, (II) if such Indebtedness, Disqualified Stock or Preferred Stock is secured by Liens on the Collateral on a basis that is junior in priority to the Liens on the Collateral securing the First Lien Obligations (“</w:t>
      </w:r>
      <w:r>
        <w:rPr>
          <w:rFonts w:ascii="Times New Roman" w:cs="Times New Roman" w:eastAsia="Times New Roman" w:hAnsi="Times New Roman"/>
          <w:sz w:val="20"/>
          <w:szCs w:val="20"/>
          <w:b w:val="1"/>
          <w:bCs w:val="1"/>
          <w:color w:val="auto"/>
        </w:rPr>
        <w:t>Junior Lien Debt</w:t>
      </w:r>
      <w:r>
        <w:rPr>
          <w:rFonts w:ascii="Times New Roman" w:cs="Times New Roman" w:eastAsia="Times New Roman" w:hAnsi="Times New Roman"/>
          <w:sz w:val="20"/>
          <w:szCs w:val="20"/>
          <w:color w:val="auto"/>
        </w:rPr>
        <w:t>”), the Secured Net Leverage Ratio for the Test Period most recently ended calculated on a pro forma basis after giving effect to any such incurrence does not exceed 3.00 to 1.00 or (III) if such Indebtedness, Disqualified Stock or Preferred Stock is secured by Liens on property not constituting Collateral, the Total Net Leverage Ratio for the Test Period most recently ended calculated on a pro forma basis after giving effect to any such incurrence or issuance does not exceed 3.50 to 1.00 and (ii) such Liens, to the extent on the Collateral, are in each case subject the applicable Intercreditor Agreement(s) and (b) Refinancing Indebtedness thereof;</w:t>
      </w:r>
    </w:p>
    <w:p>
      <w:pPr>
        <w:spacing w:after="0" w:line="190" w:lineRule="exact"/>
        <w:rPr>
          <w:sz w:val="20"/>
          <w:szCs w:val="20"/>
          <w:color w:val="auto"/>
        </w:rPr>
      </w:pPr>
    </w:p>
    <w:p>
      <w:pPr>
        <w:jc w:val="both"/>
        <w:ind w:right="280" w:firstLine="745"/>
        <w:spacing w:after="0" w:line="254"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 or consistent with industry practice;</w:t>
      </w:r>
    </w:p>
    <w:p>
      <w:pPr>
        <w:spacing w:after="0" w:line="174"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pursuant to Section 107(l) of the Comprehensive Environmental Response, Compensation and Liability Act or similar provision of any Environmental Law;</w:t>
      </w:r>
    </w:p>
    <w:p>
      <w:pPr>
        <w:spacing w:after="0" w:line="159" w:lineRule="exact"/>
        <w:rPr>
          <w:rFonts w:ascii="Times New Roman" w:cs="Times New Roman" w:eastAsia="Times New Roman" w:hAnsi="Times New Roman"/>
          <w:sz w:val="20"/>
          <w:szCs w:val="20"/>
          <w:color w:val="auto"/>
        </w:rPr>
      </w:pPr>
    </w:p>
    <w:p>
      <w:pPr>
        <w:ind w:right="240" w:firstLine="745"/>
        <w:spacing w:after="0" w:line="246"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disclosed by any title insurance reports or policies delivered on or prior to the Closing Date and any replacement, extension or renewal of any such Lien (to the extent the Indebtedness and other obligations secured by such replacement, extension or renewal Liens are permitted by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replacement, extension or renewal Liens do not cover any property other than the property that was subject to such Liens prior to such replacement, extension or renewal;</w:t>
      </w:r>
    </w:p>
    <w:p>
      <w:pPr>
        <w:spacing w:after="0" w:line="184" w:lineRule="exact"/>
        <w:rPr>
          <w:rFonts w:ascii="Times New Roman" w:cs="Times New Roman" w:eastAsia="Times New Roman" w:hAnsi="Times New Roman"/>
          <w:sz w:val="20"/>
          <w:szCs w:val="20"/>
          <w:color w:val="auto"/>
        </w:rPr>
      </w:pPr>
    </w:p>
    <w:p>
      <w:pPr>
        <w:ind w:right="140" w:firstLine="745"/>
        <w:spacing w:after="0" w:line="254"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reserved or vested in any Person by the terms of any lease, license, sublicense, franchise, grant or permit held by the Borrower or any of its Restricted Subsidiaries or by a statutory provision, to terminate any such lease, license, sublicense, franchise, grant or permit, or to require annual or periodic payments as a condition to the continuance thereof;</w:t>
      </w:r>
    </w:p>
    <w:p>
      <w:pPr>
        <w:spacing w:after="0" w:line="170"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restrictive covenants affecting the use to which real property may be put;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covenants are complied</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w:t>
      </w:r>
    </w:p>
    <w:p>
      <w:pPr>
        <w:spacing w:after="0" w:line="193" w:lineRule="exact"/>
        <w:rPr>
          <w:rFonts w:ascii="Times New Roman" w:cs="Times New Roman" w:eastAsia="Times New Roman" w:hAnsi="Times New Roman"/>
          <w:sz w:val="20"/>
          <w:szCs w:val="20"/>
          <w:color w:val="auto"/>
        </w:rPr>
      </w:pPr>
    </w:p>
    <w:p>
      <w:pPr>
        <w:ind w:right="300" w:firstLine="745"/>
        <w:spacing w:after="0" w:line="295" w:lineRule="auto"/>
        <w:tabs>
          <w:tab w:leader="none" w:pos="1144"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security given to a public utility or any municipality or governmental authority when required by such utility or authority in connection with the operations of that Person in the ordinary course of business or consistent with industry practice;</w:t>
      </w:r>
    </w:p>
    <w:p>
      <w:pPr>
        <w:spacing w:after="0" w:line="137" w:lineRule="exact"/>
        <w:rPr>
          <w:rFonts w:ascii="Times New Roman" w:cs="Times New Roman" w:eastAsia="Times New Roman" w:hAnsi="Times New Roman"/>
          <w:sz w:val="19"/>
          <w:szCs w:val="19"/>
          <w:color w:val="auto"/>
        </w:rPr>
      </w:pPr>
    </w:p>
    <w:p>
      <w:pPr>
        <w:ind w:right="60" w:firstLine="745"/>
        <w:spacing w:after="0" w:line="269"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zoning, building and other similar land use restrictions, including site plan agreements, development agreements and contract zoning agreements;</w:t>
      </w:r>
    </w:p>
    <w:p>
      <w:pPr>
        <w:spacing w:after="0" w:line="159" w:lineRule="exact"/>
        <w:rPr>
          <w:rFonts w:ascii="Times New Roman" w:cs="Times New Roman" w:eastAsia="Times New Roman" w:hAnsi="Times New Roman"/>
          <w:sz w:val="20"/>
          <w:szCs w:val="20"/>
          <w:color w:val="auto"/>
        </w:rPr>
      </w:pPr>
    </w:p>
    <w:p>
      <w:pPr>
        <w:ind w:right="120" w:firstLine="745"/>
        <w:spacing w:after="0" w:line="249" w:lineRule="auto"/>
        <w:tabs>
          <w:tab w:leader="none" w:pos="1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collateral securing obligations in respect of letters of credit or other similar instruments issued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(it being understood that any cash collateral subject to a Lien incurred pursuant to this </w:t>
      </w:r>
      <w:r>
        <w:rPr>
          <w:rFonts w:ascii="Times New Roman" w:cs="Times New Roman" w:eastAsia="Times New Roman" w:hAnsi="Times New Roman"/>
          <w:sz w:val="20"/>
          <w:szCs w:val="20"/>
          <w:u w:val="single" w:color="auto"/>
          <w:color w:val="auto"/>
        </w:rPr>
        <w:t>clause (47)</w:t>
      </w:r>
      <w:r>
        <w:rPr>
          <w:rFonts w:ascii="Times New Roman" w:cs="Times New Roman" w:eastAsia="Times New Roman" w:hAnsi="Times New Roman"/>
          <w:sz w:val="20"/>
          <w:szCs w:val="20"/>
          <w:color w:val="auto"/>
        </w:rPr>
        <w:t xml:space="preserve"> shall not be deemed “restricted” on account of such lien for purposes of determining whether such cash collateral constitutes part of the Unrestricted Cash Amount);</w:t>
      </w:r>
    </w:p>
    <w:p>
      <w:pPr>
        <w:spacing w:after="0" w:line="3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413" w:right="379" w:bottom="1440" w:gutter="0" w:footer="0" w:header="0"/>
        </w:sectPr>
      </w:pPr>
    </w:p>
    <w:bookmarkStart w:id="181" w:name="page182"/>
    <w:bookmarkEnd w:id="181"/>
    <w:p>
      <w:pPr>
        <w:ind w:left="760" w:right="420" w:firstLine="745"/>
        <w:spacing w:after="0" w:line="249" w:lineRule="auto"/>
        <w:tabs>
          <w:tab w:leader="none" w:pos="190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all or any portion of the Collateral (but no other assets, except with respect to Permitted Incremental Equivalent Debt which may be secured by Liens on assets that do not constitute Collateral) securing (a) Permitted Incremental Equivalent Debt, (b) Permitted Equal Priority Refinancing Debt or (c) Permitted Junior Priority Refinancing Debt, and, in each case, Liens securing any Refinancing Indebtedness in respect thereof;</w:t>
      </w:r>
    </w:p>
    <w:p>
      <w:pPr>
        <w:spacing w:after="0" w:line="179" w:lineRule="exact"/>
        <w:rPr>
          <w:rFonts w:ascii="Times New Roman" w:cs="Times New Roman" w:eastAsia="Times New Roman" w:hAnsi="Times New Roman"/>
          <w:sz w:val="20"/>
          <w:szCs w:val="20"/>
          <w:color w:val="auto"/>
        </w:rPr>
      </w:pPr>
    </w:p>
    <w:p>
      <w:pPr>
        <w:jc w:val="both"/>
        <w:ind w:left="760" w:right="60" w:firstLine="745"/>
        <w:spacing w:after="0" w:line="264" w:lineRule="auto"/>
        <w:tabs>
          <w:tab w:leader="none" w:pos="1904"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Liens on the assets of Restricted Subsidiaries that are not Loan Parties securing Indebtedness or other obligations of such Restricted Subsidiaries or any other Restricted Subsidiaries that are not Loan Parties that is permitted by (x)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or</w:t>
      </w:r>
    </w:p>
    <w:p>
      <w:pPr>
        <w:ind w:left="760" w:right="60" w:hanging="3"/>
        <w:spacing w:after="0" w:line="242" w:lineRule="auto"/>
        <w:tabs>
          <w:tab w:leader="none" w:pos="104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not prohibited by this Agreement, (b) Liens on Equity Interests in joint ventures (i) securing obligations of such joint venture or (ii) pursuant to the relevant joint venture agreement or arrangement and (c) Liens on the assets of Restricted Subsidiaries that are not Loan Parties securing Indebtedness of Foreign Subsidiaries;</w:t>
      </w:r>
    </w:p>
    <w:p>
      <w:pPr>
        <w:spacing w:after="0" w:line="186" w:lineRule="exact"/>
        <w:rPr>
          <w:rFonts w:ascii="Times New Roman" w:cs="Times New Roman" w:eastAsia="Times New Roman" w:hAnsi="Times New Roman"/>
          <w:sz w:val="20"/>
          <w:szCs w:val="20"/>
          <w:color w:val="auto"/>
        </w:rPr>
      </w:pPr>
    </w:p>
    <w:p>
      <w:pPr>
        <w:ind w:left="760" w:right="880" w:firstLine="745"/>
        <w:spacing w:after="0" w:line="269" w:lineRule="auto"/>
        <w:tabs>
          <w:tab w:leader="none" w:pos="190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Restricted Subsidiaries that are Foreign Subsidiaries (a) securing Indebtedness and other obligations of such Foreign Subsidiaries or (b) to the extent arising mandatorily under applicable Law; and</w:t>
      </w:r>
    </w:p>
    <w:p>
      <w:pPr>
        <w:spacing w:after="0" w:line="159" w:lineRule="exact"/>
        <w:rPr>
          <w:rFonts w:ascii="Times New Roman" w:cs="Times New Roman" w:eastAsia="Times New Roman" w:hAnsi="Times New Roman"/>
          <w:sz w:val="20"/>
          <w:szCs w:val="20"/>
          <w:color w:val="auto"/>
        </w:rPr>
      </w:pPr>
    </w:p>
    <w:p>
      <w:pPr>
        <w:ind w:left="760" w:firstLine="745"/>
        <w:spacing w:after="0" w:line="249" w:lineRule="auto"/>
        <w:tabs>
          <w:tab w:leader="none" w:pos="190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Escrowed Proceeds for the benefit of the related holders of debt securities or other Indebtedness (or the underwriters, trustee, escrow agent 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w:t>
      </w:r>
    </w:p>
    <w:p>
      <w:pPr>
        <w:spacing w:after="0" w:line="180" w:lineRule="exact"/>
        <w:rPr>
          <w:sz w:val="20"/>
          <w:szCs w:val="20"/>
          <w:color w:val="auto"/>
        </w:rPr>
      </w:pPr>
    </w:p>
    <w:p>
      <w:pPr>
        <w:ind w:right="220" w:firstLine="1497"/>
        <w:spacing w:after="0" w:line="269" w:lineRule="auto"/>
        <w:rPr>
          <w:sz w:val="20"/>
          <w:szCs w:val="20"/>
          <w:color w:val="auto"/>
        </w:rPr>
      </w:pPr>
      <w:r>
        <w:rPr>
          <w:rFonts w:ascii="Times New Roman" w:cs="Times New Roman" w:eastAsia="Times New Roman" w:hAnsi="Times New Roman"/>
          <w:sz w:val="20"/>
          <w:szCs w:val="20"/>
          <w:color w:val="auto"/>
        </w:rPr>
        <w:t>For purposes of this definition, the term “Indebtedness” will be deemed to include interest and other obligations payable on or with respect to such Indebtedness.</w:t>
      </w:r>
    </w:p>
    <w:p>
      <w:pPr>
        <w:spacing w:after="0" w:line="159"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Any Liens incurred to refinance Liens incurred pursuant to </w:t>
      </w:r>
      <w:r>
        <w:rPr>
          <w:rFonts w:ascii="Times New Roman" w:cs="Times New Roman" w:eastAsia="Times New Roman" w:hAnsi="Times New Roman"/>
          <w:sz w:val="20"/>
          <w:szCs w:val="20"/>
          <w:u w:val="single" w:color="auto"/>
          <w:color w:val="auto"/>
        </w:rPr>
        <w:t>clauses (8)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(39)</w:t>
      </w:r>
      <w:r>
        <w:rPr>
          <w:rFonts w:ascii="Times New Roman" w:cs="Times New Roman" w:eastAsia="Times New Roman" w:hAnsi="Times New Roman"/>
          <w:sz w:val="20"/>
          <w:szCs w:val="20"/>
          <w:color w:val="auto"/>
        </w:rPr>
        <w:t xml:space="preserve"> above will be permitted to secure additional Indebtedness, Disqualified Stock or Preferred Stock incurred to pay (1) any accrued and unpaid interest on the associated Indebtedness, any accrued and unpaid dividends on the associated Preferred Stock, and any accrued and unpaid dividends on the associated Disqualified Stock being so refinanced, extended, replaced, refunded, renewed or defeased and (2) the amount of any tender premium or penalty or premium required to be paid under the terms of the instrument or documents governing such associated refinanced Indebtedness, Preferred Stock or Disqualified Stock and any defeasance costs and any fees and expenses (including original issue discount, upfront fees or similar fees) incurred in connection with the issuance of such new Indebtedness, Preferred Stock or Disqualified Stock or the extension, replacement, refunding, refinancing, renewal or defeasance of such associated refinanced Indebtedness, Preferred Stock or Disqualified Stock (and with respect to associated Indebtedness under Designated Revolving Commitments, including an amount equal to any unutilized Designated Revolving Commitments being refinanced, extended, replaced, refunded, renewed or defeased to the extent permanently terminated at the time of incurrence of such Liens in connection with such Refinancing Indebtedness).</w:t>
      </w:r>
    </w:p>
    <w:p>
      <w:pPr>
        <w:spacing w:after="0" w:line="186" w:lineRule="exact"/>
        <w:rPr>
          <w:sz w:val="20"/>
          <w:szCs w:val="20"/>
          <w:color w:val="auto"/>
        </w:rPr>
      </w:pPr>
    </w:p>
    <w:p>
      <w:pPr>
        <w:ind w:right="7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Parent</w:t>
      </w:r>
      <w:r>
        <w:rPr>
          <w:rFonts w:ascii="Times New Roman" w:cs="Times New Roman" w:eastAsia="Times New Roman" w:hAnsi="Times New Roman"/>
          <w:sz w:val="20"/>
          <w:szCs w:val="20"/>
          <w:color w:val="auto"/>
        </w:rPr>
        <w:t xml:space="preserve">” means any direct or indirect parent of the Borrower that at the time it became a parent of the Borrower was a Permitted Holder pursuant to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the definition thereof.</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Ratio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8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Unsecured Refinancing Debt</w:t>
      </w:r>
      <w:r>
        <w:rPr>
          <w:rFonts w:ascii="Times New Roman" w:cs="Times New Roman" w:eastAsia="Times New Roman" w:hAnsi="Times New Roman"/>
          <w:sz w:val="20"/>
          <w:szCs w:val="20"/>
          <w:color w:val="auto"/>
        </w:rPr>
        <w:t>” means unsecured Indebtedness incurred by the Borrower and/or the Guarantors in the form of one or more series of senior unsecured notes, bonds or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spacing w:after="0" w:line="276" w:lineRule="auto"/>
        <w:rPr>
          <w:sz w:val="20"/>
          <w:szCs w:val="20"/>
          <w:color w:val="auto"/>
        </w:rPr>
      </w:pPr>
      <w:r>
        <w:rPr>
          <w:rFonts w:ascii="Times New Roman" w:cs="Times New Roman" w:eastAsia="Times New Roman" w:hAnsi="Times New Roman"/>
          <w:sz w:val="19"/>
          <w:szCs w:val="19"/>
          <w:color w:val="auto"/>
        </w:rPr>
        <w:t xml:space="preserve">debentures or unsecured loans (and, if applicable, any Registered Equivalent Notes issued in exchange therefor);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(1) such Indebtedness satisfies the applicable requirements set forth in the provisos in the definition of “Credit Agreement Refinancing Indebtedness” and (2) such Indebtedness is not at any time guaranteed by any Subsidiary of the Borrower other than Subsidiaries that are Guarantors.</w:t>
      </w:r>
    </w:p>
    <w:p>
      <w:pPr>
        <w:spacing w:after="0" w:line="151" w:lineRule="exact"/>
        <w:rPr>
          <w:sz w:val="20"/>
          <w:szCs w:val="20"/>
          <w:color w:val="auto"/>
        </w:rPr>
      </w:pPr>
    </w:p>
    <w:p>
      <w:pPr>
        <w:ind w:right="24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Warrant Transaction</w:t>
      </w:r>
      <w:r>
        <w:rPr>
          <w:rFonts w:ascii="Times New Roman" w:cs="Times New Roman" w:eastAsia="Times New Roman" w:hAnsi="Times New Roman"/>
          <w:sz w:val="20"/>
          <w:szCs w:val="20"/>
          <w:color w:val="auto"/>
        </w:rPr>
        <w:t>” means any call option, warrant or right to purchase (or substantively equivalent derivative transaction) on the Borrower’s or a Parent Company’s common equity sold by the Borrower or a Parent Company substantially concurrently with a related Permitted Bond Hedge Transaction.</w:t>
      </w:r>
    </w:p>
    <w:p>
      <w:pPr>
        <w:spacing w:after="0" w:line="169" w:lineRule="exact"/>
        <w:rPr>
          <w:sz w:val="20"/>
          <w:szCs w:val="20"/>
          <w:color w:val="auto"/>
        </w:rPr>
      </w:pPr>
    </w:p>
    <w:p>
      <w:pPr>
        <w:ind w:right="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limited liability company, partnership, joint venture, association, joint stock company, trust, unincorporated organization, government or any agency or political subdivision thereof or any other entity.</w:t>
      </w:r>
    </w:p>
    <w:p>
      <w:pPr>
        <w:spacing w:after="0" w:line="152" w:lineRule="exact"/>
        <w:rPr>
          <w:sz w:val="20"/>
          <w:szCs w:val="20"/>
          <w:color w:val="auto"/>
        </w:rPr>
      </w:pPr>
    </w:p>
    <w:p>
      <w:pPr>
        <w:jc w:val="both"/>
        <w:ind w:right="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any “employee benefit plan” (as such term is defined in Section 3(3) of ERISA), other than a Foreign Plan or a Multiemployer Plan, established or maintained by any Borrower or Holdings or, with respect to any such plan that is subject to Section 412 of the Code or Title IV of ERISA, any of their respective ERISA Affiliates.</w:t>
      </w:r>
    </w:p>
    <w:p>
      <w:pPr>
        <w:spacing w:after="0" w:line="169" w:lineRule="exact"/>
        <w:rPr>
          <w:sz w:val="20"/>
          <w:szCs w:val="20"/>
          <w:color w:val="auto"/>
        </w:rPr>
      </w:pPr>
    </w:p>
    <w:p>
      <w:pPr>
        <w:ind w:right="4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 Assets</w:t>
      </w:r>
      <w:r>
        <w:rPr>
          <w:rFonts w:ascii="Times New Roman" w:cs="Times New Roman" w:eastAsia="Times New Roman" w:hAnsi="Times New Roman"/>
          <w:sz w:val="20"/>
          <w:szCs w:val="20"/>
          <w:color w:val="auto"/>
        </w:rPr>
        <w:t>” means (1) “plan assets” of an “employee benefit plan” (as defined in ERISA) that is subject to Title I of ERISA, (2) a “plan” as defined in Section 4975 of the Code or (3) any Person whose assets include (for purposes of ERISA Section 3(42) or otherwise for purposes of Title I of ERISA or Section 4975 of the Code) the assets of any such “employee benefit plan” or “plan” within the meaning of U.S. Department of Labor Regulation 29 C.F.R. Section 2510.3-101, as modified by Section 3(42) of ERISA.</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Pledged Collateral</w:t>
      </w:r>
      <w:r>
        <w:rPr>
          <w:rFonts w:ascii="Times New Roman" w:cs="Times New Roman" w:eastAsia="Times New Roman" w:hAnsi="Times New Roman"/>
          <w:sz w:val="20"/>
          <w:szCs w:val="20"/>
          <w:color w:val="auto"/>
        </w:rPr>
        <w:t>” has the meaning specified in the Security Agreement.</w:t>
      </w:r>
    </w:p>
    <w:p>
      <w:pPr>
        <w:spacing w:after="0" w:line="216" w:lineRule="exact"/>
        <w:rPr>
          <w:sz w:val="20"/>
          <w:szCs w:val="20"/>
          <w:color w:val="auto"/>
        </w:rPr>
      </w:pPr>
    </w:p>
    <w:p>
      <w:pPr>
        <w:ind w:right="5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Stock</w:t>
      </w:r>
      <w:r>
        <w:rPr>
          <w:rFonts w:ascii="Times New Roman" w:cs="Times New Roman" w:eastAsia="Times New Roman" w:hAnsi="Times New Roman"/>
          <w:sz w:val="20"/>
          <w:szCs w:val="20"/>
          <w:color w:val="auto"/>
        </w:rPr>
        <w:t>” means any Equity Interest with preferential rights of payment of dividends or upon liquidation, dissolution or winding up.</w:t>
      </w:r>
    </w:p>
    <w:p>
      <w:pPr>
        <w:spacing w:after="0" w:line="152"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Previously Absent Financial Maintenance Covenant</w:t>
      </w:r>
      <w:r>
        <w:rPr>
          <w:rFonts w:ascii="Times New Roman" w:cs="Times New Roman" w:eastAsia="Times New Roman" w:hAnsi="Times New Roman"/>
          <w:sz w:val="20"/>
          <w:szCs w:val="20"/>
          <w:color w:val="auto"/>
        </w:rPr>
        <w:t>” means, at any time, (1) any financial maintenance covenant that is not contained in this Agreement at such time and (2) any financial maintenance covenant, a corresponding version of which is already contained in this Agreement at such time but with covenant levels and component definitions (to the extent relating to such corresponding version) that are less restrictive as to the Borrower and the Restricted Subsidiaries than those in the applicable Incremental Amendment, Refinancing Amendment, Extension Amendment or amendment in respect of Replacement Loans or any documents relating to Credit Agreement Refinancing Indebtedness, Permitted Incremental Equivalent Debt or Refinancing Indebtedness.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primary obligations</w:t>
      </w:r>
      <w:r>
        <w:rPr>
          <w:rFonts w:ascii="Times New Roman" w:cs="Times New Roman" w:eastAsia="Times New Roman" w:hAnsi="Times New Roman"/>
          <w:sz w:val="20"/>
          <w:szCs w:val="20"/>
          <w:color w:val="auto"/>
        </w:rPr>
        <w:t>” has the meaning specified in the definition of “Contingent Obligations”.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primary obligor</w:t>
      </w:r>
      <w:r>
        <w:rPr>
          <w:rFonts w:ascii="Times New Roman" w:cs="Times New Roman" w:eastAsia="Times New Roman" w:hAnsi="Times New Roman"/>
          <w:sz w:val="20"/>
          <w:szCs w:val="20"/>
          <w:color w:val="auto"/>
        </w:rPr>
        <w:t>” has the meaning specified in the definition of “Contingent Obligations”.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Priming Indebtedness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10.01(1)(IX)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Priming Transaction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10.01(1)(IX)</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183" w:name="page184"/>
    <w:bookmarkEnd w:id="183"/>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Side Information</w:t>
      </w:r>
      <w:r>
        <w:rPr>
          <w:rFonts w:ascii="Times New Roman" w:cs="Times New Roman" w:eastAsia="Times New Roman" w:hAnsi="Times New Roman"/>
          <w:sz w:val="20"/>
          <w:szCs w:val="20"/>
          <w:color w:val="auto"/>
        </w:rPr>
        <w:t>” means any information with respect to Holdings and its Subsidiaries that is not Public-Side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w:t>
      </w:r>
    </w:p>
    <w:p>
      <w:pPr>
        <w:spacing w:after="0" w:line="190" w:lineRule="exact"/>
        <w:rPr>
          <w:sz w:val="20"/>
          <w:szCs w:val="20"/>
          <w:color w:val="auto"/>
        </w:rPr>
      </w:pPr>
    </w:p>
    <w:p>
      <w:pPr>
        <w:ind w:firstLine="1497"/>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 Rata Share</w:t>
      </w:r>
      <w:r>
        <w:rPr>
          <w:rFonts w:ascii="Times New Roman" w:cs="Times New Roman" w:eastAsia="Times New Roman" w:hAnsi="Times New Roman"/>
          <w:sz w:val="19"/>
          <w:szCs w:val="19"/>
          <w:color w:val="auto"/>
        </w:rPr>
        <w:t xml:space="preserve">” means, with respect to each Lender at any time, a fraction (expressed as a percentage, carried out to the ninth decimal place), the numerator of which is the amount of the Commitments of any Class (or, if the Revolving Commitments have terminated in full, Revolving Exposure) and, if applicable and without duplication, Term Loans of any Class of such Lender at such time and the denominator of which is the amount of the Aggregate Commitments of such Class (or, if the Revolving Commitments have terminated in full, Revolving Exposure) and, if applicable and without duplication, Term Loans of such Class at such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when used with respect to (1) Commitments, Loans, interest and fees under any Class of a Revolving Facility, “Pro Rata Share,” shall mean with respect to any Lender such Lender’s Applicable Percentage and (2) Commitments, Loans and interest under any Term Facility, “Pro Rata Share,” shall mean, with respect to each Lender at any time a fraction (expressed as a percentage, carried out to the ninth decimal place), the numerator of which is the amount of the Term Commitments and Term Loans of such Lender under such Term Facility at such time and the denominator of which is the amount of the aggregate Term Commitments and Term Loans under such Term Facility at such time.</w:t>
      </w:r>
    </w:p>
    <w:p>
      <w:pPr>
        <w:spacing w:after="0" w:line="171" w:lineRule="exact"/>
        <w:rPr>
          <w:sz w:val="20"/>
          <w:szCs w:val="20"/>
          <w:color w:val="auto"/>
        </w:rPr>
      </w:pPr>
    </w:p>
    <w:p>
      <w:pPr>
        <w:ind w:right="2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2" w:lineRule="exact"/>
        <w:rPr>
          <w:sz w:val="20"/>
          <w:szCs w:val="20"/>
          <w:color w:val="auto"/>
        </w:rPr>
      </w:pPr>
    </w:p>
    <w:p>
      <w:pPr>
        <w:ind w:right="6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Company Costs</w:t>
      </w:r>
      <w:r>
        <w:rPr>
          <w:rFonts w:ascii="Times New Roman" w:cs="Times New Roman" w:eastAsia="Times New Roman" w:hAnsi="Times New Roman"/>
          <w:sz w:val="20"/>
          <w:szCs w:val="20"/>
          <w:color w:val="auto"/>
        </w:rPr>
        <w:t>” means costs relating to compliance with the provisions of the Sarbanes-Oxley Act of 2002, the Securities Act and the Exchange Act,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listing fees and other expenses, in each case to the extent arising out of or incidental to an entity’s status as an SEC registered reporting company.</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54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Side Information</w:t>
      </w:r>
      <w:r>
        <w:rPr>
          <w:rFonts w:ascii="Times New Roman" w:cs="Times New Roman" w:eastAsia="Times New Roman" w:hAnsi="Times New Roman"/>
          <w:sz w:val="20"/>
          <w:szCs w:val="20"/>
          <w:color w:val="auto"/>
        </w:rPr>
        <w:t>” means information that does not constitute material non-public information (within the meaning of United States federal and state securities laws) with respect to Holdings or any of its Subsidiaries or any of their respective securities.</w:t>
      </w:r>
    </w:p>
    <w:p>
      <w:pPr>
        <w:spacing w:after="0" w:line="169" w:lineRule="exact"/>
        <w:rPr>
          <w:sz w:val="20"/>
          <w:szCs w:val="20"/>
          <w:color w:val="auto"/>
        </w:rPr>
      </w:pPr>
    </w:p>
    <w:p>
      <w:pPr>
        <w:ind w:right="4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Money Obligations</w:t>
      </w:r>
      <w:r>
        <w:rPr>
          <w:rFonts w:ascii="Times New Roman" w:cs="Times New Roman" w:eastAsia="Times New Roman" w:hAnsi="Times New Roman"/>
          <w:sz w:val="20"/>
          <w:szCs w:val="20"/>
          <w:color w:val="auto"/>
        </w:rPr>
        <w:t>” means any Indebtedness incurred to finance or refinance the acquisition, leasing, construction or improvement of property (real or personal) or assets (other than Capital Stock), and whether acquired through the direct acquisition of such property or assets, or otherwise.</w:t>
      </w:r>
    </w:p>
    <w:p>
      <w:pPr>
        <w:spacing w:after="0" w:line="169" w:lineRule="exact"/>
        <w:rPr>
          <w:sz w:val="20"/>
          <w:szCs w:val="20"/>
          <w:color w:val="auto"/>
        </w:rPr>
      </w:pPr>
    </w:p>
    <w:p>
      <w:pPr>
        <w:ind w:right="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60" w:firstLine="1497"/>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Qualified ECP Guarantor</w:t>
      </w:r>
      <w:r>
        <w:rPr>
          <w:rFonts w:ascii="Times New Roman" w:cs="Times New Roman" w:eastAsia="Times New Roman" w:hAnsi="Times New Roman"/>
          <w:sz w:val="19"/>
          <w:szCs w:val="19"/>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84" w:name="page185"/>
    <w:bookmarkEnd w:id="184"/>
    <w:p>
      <w:pPr>
        <w:ind w:right="80"/>
        <w:spacing w:after="0" w:line="269" w:lineRule="auto"/>
        <w:rPr>
          <w:sz w:val="20"/>
          <w:szCs w:val="20"/>
          <w:color w:val="auto"/>
        </w:rPr>
      </w:pPr>
      <w:r>
        <w:rPr>
          <w:rFonts w:ascii="Times New Roman" w:cs="Times New Roman" w:eastAsia="Times New Roman" w:hAnsi="Times New Roman"/>
          <w:sz w:val="20"/>
          <w:szCs w:val="20"/>
          <w:color w:val="auto"/>
        </w:rPr>
        <w:t>promulgated thereunder and can cause another Person to qualify as an “eligible contract participant” at such time by entering into a keepwell under Section 1a(18)(A)(v)(II) of the Commodity Exchange Act.</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Equity Interests</w:t>
      </w:r>
      <w:r>
        <w:rPr>
          <w:rFonts w:ascii="Times New Roman" w:cs="Times New Roman" w:eastAsia="Times New Roman" w:hAnsi="Times New Roman"/>
          <w:sz w:val="20"/>
          <w:szCs w:val="20"/>
          <w:color w:val="auto"/>
        </w:rPr>
        <w:t>” means any Equity Interests that are not Disqualified Stock.</w:t>
      </w:r>
    </w:p>
    <w:p>
      <w:pPr>
        <w:spacing w:after="0" w:line="216" w:lineRule="exact"/>
        <w:rPr>
          <w:sz w:val="20"/>
          <w:szCs w:val="20"/>
          <w:color w:val="auto"/>
        </w:rPr>
      </w:pPr>
    </w:p>
    <w:p>
      <w:pPr>
        <w:ind w:right="4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Proceeds</w:t>
      </w:r>
      <w:r>
        <w:rPr>
          <w:rFonts w:ascii="Times New Roman" w:cs="Times New Roman" w:eastAsia="Times New Roman" w:hAnsi="Times New Roman"/>
          <w:sz w:val="20"/>
          <w:szCs w:val="20"/>
          <w:color w:val="auto"/>
        </w:rPr>
        <w:t>” means the fair market value of assets that are used or useful in, or Capital Stock of any Person engaged in, a Similar Business.</w:t>
      </w:r>
    </w:p>
    <w:p>
      <w:pPr>
        <w:spacing w:after="0" w:line="152"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Securitization Facility</w:t>
      </w:r>
      <w:r>
        <w:rPr>
          <w:rFonts w:ascii="Times New Roman" w:cs="Times New Roman" w:eastAsia="Times New Roman" w:hAnsi="Times New Roman"/>
          <w:sz w:val="20"/>
          <w:szCs w:val="20"/>
          <w:color w:val="auto"/>
        </w:rPr>
        <w:t xml:space="preserve">” means any Securitization Facility (1) constituting a securitization financing facility that meets the following conditions: (a) the Board of Directors have determined in good faith that such Securitization Facility (including financing terms, covenants, termination events and other provisions) is in the aggregate economically fair and reasonable to the Borrower and the applicable Restricted Subsidiary or Securitization Subsidiary and (b) all sales or contributions of Securitization Assets and related assets to the applicable Person or Securitization Subsidiary are made at fair market value (as determined in good faith by the Borrower) or (2) constituting a receivables financing facility; </w:t>
      </w:r>
      <w:r>
        <w:rPr>
          <w:rFonts w:ascii="Times New Roman" w:cs="Times New Roman" w:eastAsia="Times New Roman" w:hAnsi="Times New Roman"/>
          <w:sz w:val="20"/>
          <w:szCs w:val="20"/>
          <w:i w:val="1"/>
          <w:iCs w:val="1"/>
          <w:color w:val="auto"/>
        </w:rPr>
        <w:t>provide</w:t>
      </w:r>
      <w:r>
        <w:rPr>
          <w:rFonts w:ascii="Times New Roman" w:cs="Times New Roman" w:eastAsia="Times New Roman" w:hAnsi="Times New Roman"/>
          <w:sz w:val="20"/>
          <w:szCs w:val="20"/>
          <w:color w:val="auto"/>
        </w:rPr>
        <w:t>d that, in each case, the obligations under such Qualified Securitization Facility are non-recourse (except for customary representations, warranties, covenants and indemnities made in connection with such facilities) to the Borrower or any Restricted Subsidiary (other than a Securitization Subsidiary).</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80" w:firstLine="154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Rating Agencies</w:t>
      </w:r>
      <w:r>
        <w:rPr>
          <w:rFonts w:ascii="Times New Roman" w:cs="Times New Roman" w:eastAsia="Times New Roman" w:hAnsi="Times New Roman"/>
          <w:sz w:val="20"/>
          <w:szCs w:val="20"/>
          <w:color w:val="auto"/>
        </w:rPr>
        <w:t>” means Moody’s and S&amp;P, or if Moody’s or S&amp;P (or both) does not make a rating on the relevant obligations publicly available, a nationally recognized statistical rating agency or agencies, as the case may be, selected by the Borrower that will be substituted for Moody’s or S&amp;P (or both), as the case may be.</w:t>
      </w:r>
    </w:p>
    <w:p>
      <w:pPr>
        <w:spacing w:after="0" w:line="169" w:lineRule="exact"/>
        <w:rPr>
          <w:sz w:val="20"/>
          <w:szCs w:val="20"/>
          <w:color w:val="auto"/>
        </w:rPr>
      </w:pPr>
    </w:p>
    <w:p>
      <w:pPr>
        <w:ind w:right="120"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Receivables Financing Transaction</w:t>
      </w:r>
      <w:r>
        <w:rPr>
          <w:rFonts w:ascii="Times New Roman" w:cs="Times New Roman" w:eastAsia="Times New Roman" w:hAnsi="Times New Roman"/>
          <w:sz w:val="20"/>
          <w:szCs w:val="20"/>
          <w:color w:val="auto"/>
        </w:rPr>
        <w:t xml:space="preserve">” means any transaction or series of transactions entered into by Holdings, the Borrower or any Restricted Subsidiary pursuant to which such party consummates a “true sale” of its receivables to a non-related third party on market terms as determined in good faith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Receivables Financing Transaction is (1) non-recourse to Holdings, the Borrower and the Restricted Subsidiaries and their assets, other than any recourse solely attributable to a breach by Holdings, the Borrower or any Restricted Subsidiary of representations and warranties that are customarily made by a seller in connection with a “true sale” of receivables on a non-recourse basis and (2) consummated pursuant to customary contracts, arrangements or agreements entered into with respect to the “true sale” of receivables on market terms for similar transactions.</w:t>
      </w:r>
    </w:p>
    <w:p>
      <w:pPr>
        <w:spacing w:after="0" w:line="151" w:lineRule="exact"/>
        <w:rPr>
          <w:sz w:val="20"/>
          <w:szCs w:val="20"/>
          <w:color w:val="auto"/>
        </w:rPr>
      </w:pPr>
    </w:p>
    <w:p>
      <w:pPr>
        <w:ind w:right="60" w:firstLine="1497"/>
        <w:spacing w:after="0" w:line="23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Reference Rate</w:t>
      </w:r>
      <w:r>
        <w:rPr>
          <w:rFonts w:ascii="Times New Roman" w:cs="Times New Roman" w:eastAsia="Times New Roman" w:hAnsi="Times New Roman"/>
          <w:sz w:val="19"/>
          <w:szCs w:val="19"/>
          <w:color w:val="auto"/>
        </w:rPr>
        <w:t>” means (1) with respect to the calculation of the All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Yield in the case of Loans of an applicable Class that includes a Term Benchmark Rate floor, an interest rate per annum equal to the rate per annum equal to the Term SOFR Reference Rate and (2) with respect to the calculation of the All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In Yield in the case of Loans of an applicable Class that includes a Base Rate floor, the interest rate per annum equal to the highest of (a) the Federal Funds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1/2 of 1.00%, (b) the rate last quoted by </w:t>
      </w:r>
      <w:r>
        <w:rPr>
          <w:rFonts w:ascii="Times New Roman" w:cs="Times New Roman" w:eastAsia="Times New Roman" w:hAnsi="Times New Roman"/>
          <w:sz w:val="19"/>
          <w:szCs w:val="19"/>
          <w:i w:val="1"/>
          <w:iCs w:val="1"/>
          <w:color w:val="auto"/>
        </w:rPr>
        <w:t>The Wall Street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Journal </w:t>
      </w:r>
      <w:r>
        <w:rPr>
          <w:rFonts w:ascii="Times New Roman" w:cs="Times New Roman" w:eastAsia="Times New Roman" w:hAnsi="Times New Roman"/>
          <w:sz w:val="19"/>
          <w:szCs w:val="19"/>
          <w:color w:val="auto"/>
        </w:rPr>
        <w:t>as the “Prime Rate” in the United States or, if</w:t>
      </w:r>
      <w:r>
        <w:rPr>
          <w:rFonts w:ascii="Times New Roman" w:cs="Times New Roman" w:eastAsia="Times New Roman" w:hAnsi="Times New Roman"/>
          <w:sz w:val="19"/>
          <w:szCs w:val="19"/>
          <w:i w:val="1"/>
          <w:iCs w:val="1"/>
          <w:color w:val="auto"/>
        </w:rPr>
        <w:t xml:space="preserve"> The Wall Street Journal </w:t>
      </w:r>
      <w:r>
        <w:rPr>
          <w:rFonts w:ascii="Times New Roman" w:cs="Times New Roman" w:eastAsia="Times New Roman" w:hAnsi="Times New Roman"/>
          <w:sz w:val="19"/>
          <w:szCs w:val="19"/>
          <w:color w:val="auto"/>
        </w:rPr>
        <w:t>ceases to quote such rate, the highest per annum interest rate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published by the Federal Reserve Board in </w:t>
      </w:r>
      <w:r>
        <w:rPr>
          <w:rFonts w:ascii="Times New Roman" w:cs="Times New Roman" w:eastAsia="Times New Roman" w:hAnsi="Times New Roman"/>
          <w:sz w:val="19"/>
          <w:szCs w:val="19"/>
          <w:i w:val="1"/>
          <w:iCs w:val="1"/>
          <w:color w:val="auto"/>
        </w:rPr>
        <w:t>Federal Reserve Statistical Release H.15 (519) (Selected Interest Rates)</w:t>
      </w:r>
      <w:r>
        <w:rPr>
          <w:rFonts w:ascii="Times New Roman" w:cs="Times New Roman" w:eastAsia="Times New Roman" w:hAnsi="Times New Roman"/>
          <w:sz w:val="19"/>
          <w:szCs w:val="19"/>
          <w:color w:val="auto"/>
        </w:rPr>
        <w:t xml:space="preserve"> as the “bank prime loan” rate or, if such rate is no longer quoted therein, any similar rate quoted therein (as determined by the Administrative Agent) or any similar release by the Federal Reserve Board (as determined by the Administrative Agent) and (c) the Term Benchmark Rate on such day for an Interest Period of one (1) month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1.00% (or, if such day is not a Business Day, the immediately preceding Business Day).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ind w:right="9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w:t>
      </w:r>
      <w:r>
        <w:rPr>
          <w:rFonts w:ascii="Times New Roman" w:cs="Times New Roman" w:eastAsia="Times New Roman" w:hAnsi="Times New Roman"/>
          <w:sz w:val="20"/>
          <w:szCs w:val="20"/>
          <w:color w:val="auto"/>
        </w:rPr>
        <w:t>” has the meaning set forth in the definition of “Refinancing Indebtedness” and “</w:t>
      </w:r>
      <w:r>
        <w:rPr>
          <w:rFonts w:ascii="Times New Roman" w:cs="Times New Roman" w:eastAsia="Times New Roman" w:hAnsi="Times New Roman"/>
          <w:sz w:val="20"/>
          <w:szCs w:val="20"/>
          <w:b w:val="1"/>
          <w:bCs w:val="1"/>
          <w:color w:val="auto"/>
        </w:rPr>
        <w:t>Refinancing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Refinanced</w:t>
      </w:r>
      <w:r>
        <w:rPr>
          <w:rFonts w:ascii="Times New Roman" w:cs="Times New Roman" w:eastAsia="Times New Roman" w:hAnsi="Times New Roman"/>
          <w:sz w:val="20"/>
          <w:szCs w:val="20"/>
          <w:color w:val="auto"/>
        </w:rPr>
        <w:t>” have meanings correlative to the foregoing.</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Debt</w:t>
      </w:r>
      <w:r>
        <w:rPr>
          <w:rFonts w:ascii="Times New Roman" w:cs="Times New Roman" w:eastAsia="Times New Roman" w:hAnsi="Times New Roman"/>
          <w:sz w:val="20"/>
          <w:szCs w:val="20"/>
          <w:color w:val="auto"/>
        </w:rPr>
        <w:t>” has the meaning set forth in the definition of “Refinancing Indebtedness.”</w:t>
      </w:r>
    </w:p>
    <w:p>
      <w:pPr>
        <w:spacing w:after="0" w:line="216" w:lineRule="exact"/>
        <w:rPr>
          <w:sz w:val="20"/>
          <w:szCs w:val="20"/>
          <w:color w:val="auto"/>
        </w:rPr>
      </w:pPr>
    </w:p>
    <w:p>
      <w:pPr>
        <w:ind w:right="4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Amendment</w:t>
      </w:r>
      <w:r>
        <w:rPr>
          <w:rFonts w:ascii="Times New Roman" w:cs="Times New Roman" w:eastAsia="Times New Roman" w:hAnsi="Times New Roman"/>
          <w:sz w:val="20"/>
          <w:szCs w:val="20"/>
          <w:color w:val="auto"/>
        </w:rPr>
        <w:t xml:space="preserve">” means an amendment to this Agreement in form and substance reasonably satisfactory to the Administrative Agent and the Borrower executed by each of (1) the Borrower, (2) the Administrative Agent and (3) each Additional Lender and Lender that agrees to provide any portion of the Other Loans or Other Commitments being incurred or provided pursuant thereto,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right="10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Indebtedness</w:t>
      </w:r>
      <w:r>
        <w:rPr>
          <w:rFonts w:ascii="Times New Roman" w:cs="Times New Roman" w:eastAsia="Times New Roman" w:hAnsi="Times New Roman"/>
          <w:sz w:val="20"/>
          <w:szCs w:val="20"/>
          <w:color w:val="auto"/>
        </w:rPr>
        <w:t>” means (1) Indebtedness incurred by the Borrower or any Restricted Subsidiary, (2) Disqualified Stock issued by the Borrower or any Restricted Subsidiary or (3) Preferred Stock issued by any Restricted Subsidiary which, in each case, serves to extend, replace, refund, refinance, renew or defease (“</w:t>
      </w:r>
      <w:r>
        <w:rPr>
          <w:rFonts w:ascii="Times New Roman" w:cs="Times New Roman" w:eastAsia="Times New Roman" w:hAnsi="Times New Roman"/>
          <w:sz w:val="20"/>
          <w:szCs w:val="20"/>
          <w:b w:val="1"/>
          <w:bCs w:val="1"/>
          <w:color w:val="auto"/>
        </w:rPr>
        <w:t>Refinance</w:t>
      </w:r>
      <w:r>
        <w:rPr>
          <w:rFonts w:ascii="Times New Roman" w:cs="Times New Roman" w:eastAsia="Times New Roman" w:hAnsi="Times New Roman"/>
          <w:sz w:val="20"/>
          <w:szCs w:val="20"/>
          <w:color w:val="auto"/>
        </w:rPr>
        <w:t xml:space="preserve">”) any Indebtedness, Disqualified Stock or Preferred Stock, in each case of the foregoing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including any Refinancing Indebtedness, so long as:</w:t>
      </w:r>
    </w:p>
    <w:p>
      <w:pPr>
        <w:spacing w:after="0" w:line="180" w:lineRule="exact"/>
        <w:rPr>
          <w:sz w:val="20"/>
          <w:szCs w:val="20"/>
          <w:color w:val="auto"/>
        </w:rPr>
      </w:pPr>
    </w:p>
    <w:p>
      <w:pPr>
        <w:ind w:left="760" w:firstLine="745"/>
        <w:spacing w:after="0" w:line="257" w:lineRule="auto"/>
        <w:tabs>
          <w:tab w:leader="none" w:pos="1904"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(or accreted value, if applicable) of such new Indebtedness, the amount of such new Preferred Stock or the liquidation preference of such new Disqualified Stock does not exceed (i) the principal amount of (or accreted value, if applicable) Indebtedness, the amount of Preferred Stock or the liquidation preference of Disqualified Stock being so extended, replaced, refunded, refinanced, renewed or defeased (such Indebtedness, Disqualified Stock or Preferred Stock, the “</w:t>
      </w:r>
      <w:r>
        <w:rPr>
          <w:rFonts w:ascii="Times New Roman" w:cs="Times New Roman" w:eastAsia="Times New Roman" w:hAnsi="Times New Roman"/>
          <w:sz w:val="19"/>
          <w:szCs w:val="19"/>
          <w:b w:val="1"/>
          <w:bCs w:val="1"/>
          <w:color w:val="auto"/>
        </w:rPr>
        <w:t>Refinanced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Debt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(ii) any accrued and unpaid interest on, or any accrued and unpaid dividends on, such Refinanced Debt,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(iii)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amount of any tender premium or penalty or premium required to be paid under the terms of the instrument or documents governing such Refinanced Debt and any defeasance costs and any fees and expenses (including original issue discount, upfront fees, underwriting, arrangement and similar fees) incurred in connection with the issuance of such new Indebtedness, Preferred Stock or Disqualified Stock or to Refinance such Refinanced Debt (such amounts in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above the “</w:t>
      </w:r>
      <w:r>
        <w:rPr>
          <w:rFonts w:ascii="Times New Roman" w:cs="Times New Roman" w:eastAsia="Times New Roman" w:hAnsi="Times New Roman"/>
          <w:sz w:val="19"/>
          <w:szCs w:val="19"/>
          <w:b w:val="1"/>
          <w:bCs w:val="1"/>
          <w:color w:val="auto"/>
        </w:rPr>
        <w:t>Incremental Amounts</w:t>
      </w:r>
      <w:r>
        <w:rPr>
          <w:rFonts w:ascii="Times New Roman" w:cs="Times New Roman" w:eastAsia="Times New Roman" w:hAnsi="Times New Roman"/>
          <w:sz w:val="19"/>
          <w:szCs w:val="19"/>
          <w:color w:val="auto"/>
        </w:rPr>
        <w:t>”);</w:t>
      </w:r>
    </w:p>
    <w:p>
      <w:pPr>
        <w:spacing w:after="0" w:line="175" w:lineRule="exact"/>
        <w:rPr>
          <w:rFonts w:ascii="Times New Roman" w:cs="Times New Roman" w:eastAsia="Times New Roman" w:hAnsi="Times New Roman"/>
          <w:sz w:val="19"/>
          <w:szCs w:val="19"/>
          <w:color w:val="auto"/>
        </w:rPr>
      </w:pPr>
    </w:p>
    <w:p>
      <w:pPr>
        <w:jc w:val="both"/>
        <w:ind w:left="760" w:firstLine="745"/>
        <w:spacing w:after="0" w:line="295" w:lineRule="auto"/>
        <w:tabs>
          <w:tab w:leader="none" w:pos="1904"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Refinancing Indebtedness (other than in the case of the Refinancing of any Indebtedness assumed or acquired in connection with any Permitted Acquisition, investment or similar transaction so long as not created in contemplation thereof), has a:</w:t>
      </w:r>
    </w:p>
    <w:p>
      <w:pPr>
        <w:spacing w:after="0" w:line="138" w:lineRule="exact"/>
        <w:rPr>
          <w:sz w:val="20"/>
          <w:szCs w:val="20"/>
          <w:color w:val="auto"/>
        </w:rPr>
      </w:pPr>
    </w:p>
    <w:p>
      <w:pPr>
        <w:ind w:left="1500" w:right="20" w:firstLine="754"/>
        <w:spacing w:after="0" w:line="249" w:lineRule="auto"/>
        <w:tabs>
          <w:tab w:leader="none" w:pos="26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Weighted Average Life to Maturity at the time such Refinancing Indebtedness is incurred that is not less than the remaining Weighted Average Life to Maturity of the applicable Refinanced Debt (or, if earlier, not less than the remaining Weighted Average Life to Maturity of the Class of Loans with the longest Weighted Average Life to Maturity); and</w:t>
      </w:r>
    </w:p>
    <w:p>
      <w:pPr>
        <w:spacing w:after="0" w:line="180" w:lineRule="exact"/>
        <w:rPr>
          <w:sz w:val="20"/>
          <w:szCs w:val="20"/>
          <w:color w:val="auto"/>
        </w:rPr>
      </w:pPr>
    </w:p>
    <w:p>
      <w:pPr>
        <w:ind w:left="1500" w:right="40" w:firstLine="754"/>
        <w:spacing w:after="0" w:line="269" w:lineRule="auto"/>
        <w:tabs>
          <w:tab w:leader="none" w:pos="264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final scheduled maturity date equal to or later than the final scheduled maturity date of the Refinanced Debt (or, if earlier, the date that is 91 days after the Latest Maturity Date of the Loans);</w:t>
      </w:r>
    </w:p>
    <w:p>
      <w:pPr>
        <w:spacing w:after="0" w:line="159" w:lineRule="exact"/>
        <w:rPr>
          <w:rFonts w:ascii="Times New Roman" w:cs="Times New Roman" w:eastAsia="Times New Roman" w:hAnsi="Times New Roman"/>
          <w:sz w:val="20"/>
          <w:szCs w:val="20"/>
          <w:color w:val="auto"/>
        </w:rPr>
      </w:pPr>
    </w:p>
    <w:p>
      <w:pPr>
        <w:ind w:left="760" w:right="60" w:firstLine="745"/>
        <w:spacing w:after="0" w:line="249"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Refinancing Indebtedness Refinances (i) Indebtedness that is contractually subordinated in right of payment to the Obligations (other than such Indebtedness assumed or acquired in an acquisition and not created in contemplation thereof), unless such Refinancing constitutes a Restricted Payment permitted by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such Refinancing Indebtedness is subordinated to the Loans or the Guaranty thereof at least to the same extent as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86" w:name="page187"/>
    <w:bookmarkEnd w:id="186"/>
    <w:p>
      <w:pPr>
        <w:ind w:left="760"/>
        <w:spacing w:after="0" w:line="246" w:lineRule="auto"/>
        <w:rPr>
          <w:sz w:val="20"/>
          <w:szCs w:val="20"/>
          <w:color w:val="auto"/>
        </w:rPr>
      </w:pPr>
      <w:r>
        <w:rPr>
          <w:rFonts w:ascii="Times New Roman" w:cs="Times New Roman" w:eastAsia="Times New Roman" w:hAnsi="Times New Roman"/>
          <w:sz w:val="20"/>
          <w:szCs w:val="20"/>
          <w:color w:val="auto"/>
        </w:rPr>
        <w:t xml:space="preserve">the applicable Refinanced Debt, (ii) Junior Lien Debt, such Refinancing Indebtedness is (I) unsecured or (II) secured by Liens that are subordinated to the Liens that secure the Loans or the Guaranty thereof, in each case at least to the same extent as the applicable Refinanced Debt or pursuant to an Intercreditor Agreement, in each case, unless such Refinancing Indebtedness is secured by a Lien that is not so subordinated that is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or (iii) Disqualified Stock or Preferred Stock, such Refinancing Indebtedness must be Disqualified Stock or Preferred Stock, respectively;</w:t>
      </w:r>
    </w:p>
    <w:p>
      <w:pPr>
        <w:spacing w:after="0" w:line="185" w:lineRule="exact"/>
        <w:rPr>
          <w:sz w:val="20"/>
          <w:szCs w:val="20"/>
          <w:color w:val="auto"/>
        </w:rPr>
      </w:pPr>
    </w:p>
    <w:p>
      <w:pPr>
        <w:ind w:left="760" w:right="480" w:firstLine="745"/>
        <w:spacing w:after="0" w:line="269" w:lineRule="auto"/>
        <w:tabs>
          <w:tab w:leader="none" w:pos="190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Refinancing Indebtedness shall not be guaranteed or borrowed by any Person other than a Person that is so obligated in respect of the Refinanced Debt being Refinanced; and</w:t>
      </w:r>
    </w:p>
    <w:p>
      <w:pPr>
        <w:spacing w:after="0" w:line="159" w:lineRule="exact"/>
        <w:rPr>
          <w:rFonts w:ascii="Times New Roman" w:cs="Times New Roman" w:eastAsia="Times New Roman" w:hAnsi="Times New Roman"/>
          <w:sz w:val="20"/>
          <w:szCs w:val="20"/>
          <w:color w:val="auto"/>
        </w:rPr>
      </w:pPr>
    </w:p>
    <w:p>
      <w:pPr>
        <w:ind w:left="760" w:firstLine="745"/>
        <w:spacing w:after="0" w:line="246" w:lineRule="auto"/>
        <w:tabs>
          <w:tab w:leader="none" w:pos="190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Refinancing Indebtedness shall not be secured by any assets or property of Holdings, the Borrower or any Restricted Subsidiary that does not secure the Refinanced Debt being Refinanced unless such assets or property constitute Collateral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improvements, accessions, proceeds or dividends or distributions in respect thereof and after-acquired property) (other than with respect to proceeds of such Refinancing Indebtedness that are subject to an escrow or other similar arrangement and any related deposit of cash or Cash Equivalents to cover interest and premium in respect of such Refinancing Indebtedness);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Refinancing Indebtedness will not include:</w:t>
      </w:r>
    </w:p>
    <w:p>
      <w:pPr>
        <w:spacing w:after="0" w:line="220" w:lineRule="exact"/>
        <w:rPr>
          <w:sz w:val="20"/>
          <w:szCs w:val="20"/>
          <w:color w:val="auto"/>
        </w:rPr>
      </w:pPr>
    </w:p>
    <w:p>
      <w:pPr>
        <w:ind w:left="760" w:right="500" w:firstLine="745"/>
        <w:spacing w:after="0" w:line="269" w:lineRule="auto"/>
        <w:tabs>
          <w:tab w:leader="none" w:pos="190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Disqualified Stock or Preferred Stock of a Subsidiary of the Borrower that is not a Guarantor that refinances Indebtedness or Disqualified Stock of the Borrower;</w:t>
      </w:r>
    </w:p>
    <w:p>
      <w:pPr>
        <w:spacing w:after="0" w:line="159" w:lineRule="exact"/>
        <w:rPr>
          <w:rFonts w:ascii="Times New Roman" w:cs="Times New Roman" w:eastAsia="Times New Roman" w:hAnsi="Times New Roman"/>
          <w:sz w:val="20"/>
          <w:szCs w:val="20"/>
          <w:color w:val="auto"/>
        </w:rPr>
      </w:pPr>
    </w:p>
    <w:p>
      <w:pPr>
        <w:ind w:left="760" w:right="500" w:firstLine="745"/>
        <w:spacing w:after="0" w:line="269" w:lineRule="auto"/>
        <w:tabs>
          <w:tab w:leader="none" w:pos="190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Disqualified Stock or Preferred Stock of a Subsidiary of the Borrower that is not a Guarantor that refinances Indebtedness, Disqualified Stock or Preferred Stock of a Guarantor; or</w:t>
      </w:r>
    </w:p>
    <w:p>
      <w:pPr>
        <w:spacing w:after="0" w:line="159" w:lineRule="exact"/>
        <w:rPr>
          <w:rFonts w:ascii="Times New Roman" w:cs="Times New Roman" w:eastAsia="Times New Roman" w:hAnsi="Times New Roman"/>
          <w:sz w:val="20"/>
          <w:szCs w:val="20"/>
          <w:color w:val="auto"/>
        </w:rPr>
      </w:pPr>
    </w:p>
    <w:p>
      <w:pPr>
        <w:ind w:left="760" w:right="520" w:firstLine="745"/>
        <w:spacing w:after="0" w:line="269" w:lineRule="auto"/>
        <w:tabs>
          <w:tab w:leader="none" w:pos="190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or Disqualified Stock of the Borrower or Indebtedness, Disqualified Stock or Preferred Stock of a Restricted Subsidiary that refinances Indebtedness, Disqualified Stock or Preferred Stock of an Unrestricted Subsidiary;</w:t>
      </w:r>
    </w:p>
    <w:p>
      <w:pPr>
        <w:spacing w:after="0" w:line="155"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that (i)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this definition will not apply to any Refinancing of any Indebtedness other than Indebtedness incurred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clause (dd)</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(including any successive Refinancings thereof incurred under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and any Junior Indebtedness (other than Junior Indebtedness assumed or acquired in an investment or acquisition and not created in contemplation thereof), Disqualified Stock and Preferred Stock and (ii) Refinancing Indebtedness may be incurred in the form of a bridge or other interim credit facility intended to be Refinanced with long-term indebtedness (and such bridge or other interim credit facility shall be deemed to satisfy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definition so long as (I) such credit facility includes customary “rollover” provisions and (II) assuming such credit facility were to be extended pursuant to such “rollover” provisions, such extended credit facility would comply with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definition).</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Refunding Capital Stock</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7.05(2)(b)(i)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Equivalent Notes</w:t>
      </w:r>
      <w:r>
        <w:rPr>
          <w:rFonts w:ascii="Times New Roman" w:cs="Times New Roman" w:eastAsia="Times New Roman" w:hAnsi="Times New Roman"/>
          <w:sz w:val="20"/>
          <w:szCs w:val="20"/>
          <w:color w:val="auto"/>
        </w:rPr>
        <w:t>” means, with respect to any notes originally issued in a Rule 144A or other private placement transaction under the Securities Act, substantially identical notes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color w:val="auto"/>
        </w:rPr>
        <w:t>(having the same Guarantees) issued in a dollar-for-dollar exchange therefor pursuant to an exchange offer registered with the SEC.</w:t>
      </w:r>
    </w:p>
    <w:p>
      <w:pPr>
        <w:spacing w:after="0" w:line="212"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Regulated Bank</w:t>
      </w:r>
      <w:r>
        <w:rPr>
          <w:rFonts w:ascii="Times New Roman" w:cs="Times New Roman" w:eastAsia="Times New Roman" w:hAnsi="Times New Roman"/>
          <w:sz w:val="20"/>
          <w:szCs w:val="20"/>
          <w:color w:val="auto"/>
        </w:rPr>
        <w:t>” means (x)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above to the extent that (1) all of the Capital Stock of such Affiliate is directly or indirectly owned by either (I) such Person set forth in clause (x) above or (II) a parent entity that also owns, directly or indirectly, all of the Capital Stock of such Person set forth in clause (x) and (2) such Affiliate is a securities broker or dealer registered with the SEC under Section 15 of the Exchange Act.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Rejection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2.05(2)(f)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Business Assets</w:t>
      </w:r>
      <w:r>
        <w:rPr>
          <w:rFonts w:ascii="Times New Roman" w:cs="Times New Roman" w:eastAsia="Times New Roman" w:hAnsi="Times New Roman"/>
          <w:sz w:val="20"/>
          <w:szCs w:val="20"/>
          <w:color w:val="auto"/>
        </w:rPr>
        <w:t xml:space="preserve">” means assets (other than Cash Equivalents) used or useful in a Similar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assets received by the Borrower or a Restricted Subsidiary in exchange for assets transferred by the Borrower or a Restricted Subsidiary will not be deemed to be Related Business Assets if they consist of securities of a Person, unless upon receipt of the securities of such Person, such Person is or would become a Restricted Subsidiary.</w:t>
      </w:r>
    </w:p>
    <w:p>
      <w:pPr>
        <w:spacing w:after="0" w:line="176" w:lineRule="exact"/>
        <w:rPr>
          <w:sz w:val="20"/>
          <w:szCs w:val="20"/>
          <w:color w:val="auto"/>
        </w:rPr>
      </w:pPr>
    </w:p>
    <w:p>
      <w:pPr>
        <w:ind w:right="60"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Indemnified Person</w:t>
      </w:r>
      <w:r>
        <w:rPr>
          <w:rFonts w:ascii="Times New Roman" w:cs="Times New Roman" w:eastAsia="Times New Roman" w:hAnsi="Times New Roman"/>
          <w:sz w:val="20"/>
          <w:szCs w:val="20"/>
          <w:color w:val="auto"/>
        </w:rPr>
        <w:t xml:space="preserve">” of an Indemnitee means (1) any controlling Person or controlled Affiliate of such Indemnitee, (2) the respective directors, officers, partners, employees, advisors, other representatives or successors or permitted assigns of such Indemnitee or any of its controlling Persons or controlled Affiliates and (3) the respective agents, trustees and other representatives of such Indemnitee or any of its controlling Persons or controlled Affiliates, in the case of this clause (3), acting at the instructions of such Indemnitee, controlling Person or such controlled Affiliate;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reference to a controlled Affiliate or controlling Person in this definition pertains to a controlled Affiliate or controlling Person involved in the negotiation of this Agreement.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86" w:lineRule="exact"/>
        <w:rPr>
          <w:sz w:val="20"/>
          <w:szCs w:val="20"/>
          <w:color w:val="auto"/>
        </w:rPr>
      </w:pPr>
    </w:p>
    <w:p>
      <w:pPr>
        <w:ind w:right="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Person</w:t>
      </w:r>
      <w:r>
        <w:rPr>
          <w:rFonts w:ascii="Times New Roman" w:cs="Times New Roman" w:eastAsia="Times New Roman" w:hAnsi="Times New Roman"/>
          <w:sz w:val="20"/>
          <w:szCs w:val="20"/>
          <w:color w:val="auto"/>
        </w:rPr>
        <w:t>” means, with respect to any Person, (1) any Affiliate of such Person, (2) the respective directors, officers, partners, employees, advisors, agents, trustees and other representatives of such Person or any of its Affiliates and (3) the successors and permitted assigns of such Person or any of its Affiliates.</w:t>
      </w:r>
    </w:p>
    <w:p>
      <w:pPr>
        <w:spacing w:after="0" w:line="169" w:lineRule="exact"/>
        <w:rPr>
          <w:sz w:val="20"/>
          <w:szCs w:val="20"/>
          <w:color w:val="auto"/>
        </w:rPr>
      </w:pPr>
    </w:p>
    <w:p>
      <w:pPr>
        <w:ind w:right="2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Professional</w:t>
      </w:r>
      <w:r>
        <w:rPr>
          <w:rFonts w:ascii="Times New Roman" w:cs="Times New Roman" w:eastAsia="Times New Roman" w:hAnsi="Times New Roman"/>
          <w:sz w:val="20"/>
          <w:szCs w:val="20"/>
          <w:color w:val="auto"/>
        </w:rPr>
        <w:t>” means physicians, nurses, physicians assistants, clinicians or independent contractors that own, are employed by, or are under contract with, an Affiliated Practice or a Subsidiary of the Borrower.</w:t>
      </w:r>
    </w:p>
    <w:p>
      <w:pPr>
        <w:spacing w:after="0" w:line="152" w:lineRule="exact"/>
        <w:rPr>
          <w:sz w:val="20"/>
          <w:szCs w:val="20"/>
          <w:color w:val="auto"/>
        </w:rPr>
      </w:pPr>
    </w:p>
    <w:p>
      <w:pPr>
        <w:ind w:right="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means any release, spill, emission, discharge, deposit, disposal, leaking, pumping, pouring, dumping, emptying, injection or leaching into the Environment.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Released Subsidiary</w:t>
      </w:r>
      <w:r>
        <w:rPr>
          <w:rFonts w:ascii="Times New Roman" w:cs="Times New Roman" w:eastAsia="Times New Roman" w:hAnsi="Times New Roman"/>
          <w:sz w:val="20"/>
          <w:szCs w:val="20"/>
          <w:color w:val="auto"/>
        </w:rPr>
        <w:t>” has the meaning specified in the definition of “Collateral and Guarantee Requirement.”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8" w:name="page189"/>
    <w:bookmarkEnd w:id="188"/>
    <w:p>
      <w:pPr>
        <w:jc w:val="both"/>
        <w:ind w:right="18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London Interbank Offered Rate in loan agreements similar to this Agreement.</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Replaced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Replacement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Replacement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Reportable Event</w:t>
      </w:r>
      <w:r>
        <w:rPr>
          <w:rFonts w:ascii="Times New Roman" w:cs="Times New Roman" w:eastAsia="Times New Roman" w:hAnsi="Times New Roman"/>
          <w:sz w:val="20"/>
          <w:szCs w:val="20"/>
          <w:color w:val="auto"/>
        </w:rPr>
        <w:t>” means, with respect to any Pension Plan, any of the events set forth in Section 4043(c) of ERISA or the regulations issued thereunder, other than events for which the thirty (30) day notice period has been waived.</w:t>
      </w:r>
    </w:p>
    <w:p>
      <w:pPr>
        <w:spacing w:after="0" w:line="152" w:lineRule="exact"/>
        <w:rPr>
          <w:sz w:val="20"/>
          <w:szCs w:val="20"/>
          <w:color w:val="auto"/>
        </w:rPr>
      </w:pPr>
    </w:p>
    <w:p>
      <w:pPr>
        <w:ind w:right="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Request for Credit Extension</w:t>
      </w:r>
      <w:r>
        <w:rPr>
          <w:rFonts w:ascii="Times New Roman" w:cs="Times New Roman" w:eastAsia="Times New Roman" w:hAnsi="Times New Roman"/>
          <w:sz w:val="20"/>
          <w:szCs w:val="20"/>
          <w:color w:val="auto"/>
        </w:rPr>
        <w:t>” means (1) with respect to a Borrowing, conversion or continuation of Term Loans or Revolving Loans, a Committed Loan Notice, (2) with respect to an L/C Credit Extension, an L/C Application and (3) with respect to a Swing Line Loan, a Swing Line Loan Notice.</w:t>
      </w:r>
    </w:p>
    <w:p>
      <w:pPr>
        <w:spacing w:after="0" w:line="169"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Facility Lenders</w:t>
      </w:r>
      <w:r>
        <w:rPr>
          <w:rFonts w:ascii="Times New Roman" w:cs="Times New Roman" w:eastAsia="Times New Roman" w:hAnsi="Times New Roman"/>
          <w:sz w:val="20"/>
          <w:szCs w:val="20"/>
          <w:color w:val="auto"/>
        </w:rPr>
        <w:t xml:space="preserve">” means, as of any date of determination, with respect to one or more Facilities, Lenders having more than 50% of the sum of (1) the Total Outstandings under such Facility or Facilities (with the aggregate Dollar amount of each Lender’s risk participation and funded participation in L/C Obligations and Swing Line Loans, as applicable, under such Facility or Facilities being deemed “held” by such Lender for purposes of this definition) and (2) the aggregate unused Commitments under such Facility or Facilities;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unused Commitments of, and the portion of the Total Outstandings under such Facility or Facilities held or deemed held by, any Defaulting Lender shall be excluded for purposes of making a determination of the Required Facility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to the same extent specified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10.07(9)</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determination of Required Lenders, the Loans of any Affiliated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Lender shall in each case be excluded for purposes of making a determination of Required Facility Lenders unless the action in question affects such Affiliated Lender in a disproportionately adverse manner than its effect on the other Lenders.</w:t>
      </w:r>
    </w:p>
    <w:p>
      <w:pPr>
        <w:spacing w:after="0" w:line="186" w:lineRule="exact"/>
        <w:rPr>
          <w:sz w:val="20"/>
          <w:szCs w:val="20"/>
          <w:color w:val="auto"/>
        </w:rPr>
      </w:pPr>
    </w:p>
    <w:p>
      <w:pPr>
        <w:ind w:right="20"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Lenders</w:t>
      </w:r>
      <w:r>
        <w:rPr>
          <w:rFonts w:ascii="Times New Roman" w:cs="Times New Roman" w:eastAsia="Times New Roman" w:hAnsi="Times New Roman"/>
          <w:sz w:val="20"/>
          <w:szCs w:val="20"/>
          <w:color w:val="auto"/>
        </w:rPr>
        <w:t xml:space="preserve">” means, as of any date of determination, Lenders having more than 50% of the sum of the (1) Total Outstandings (with the aggregate Dollar amount of each Lender’s risk participation and funded participation in L/C Obligations and Swing Line Loans being deemed “held” by such Lender for purposes of this definition), (2) aggregate unused Term Commitments and (3) aggregate unused Revolving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unused Term Commitment and unused Revolving Commitment of, and the portion of the Total Outstandings held or deemed held by, any Defaulting Lender shall be excluded for purposes of making a determination of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Loans of any Affiliated Lender shall in each case be excluded for purposes of making a determination of Required Lenders unless the action in question affects such Affiliated Lender in a disproportionately adverse manner than its effect on the other Lenders.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Revolving Lenders</w:t>
      </w:r>
      <w:r>
        <w:rPr>
          <w:rFonts w:ascii="Times New Roman" w:cs="Times New Roman" w:eastAsia="Times New Roman" w:hAnsi="Times New Roman"/>
          <w:sz w:val="20"/>
          <w:szCs w:val="20"/>
          <w:color w:val="auto"/>
        </w:rPr>
        <w:t>” means at any time (a) Lenders then holding more than fifty percent (50%) of the sum of</w:t>
      </w:r>
    </w:p>
    <w:p>
      <w:pPr>
        <w:spacing w:after="0" w:line="26" w:lineRule="exact"/>
        <w:rPr>
          <w:sz w:val="20"/>
          <w:szCs w:val="20"/>
          <w:color w:val="auto"/>
        </w:rPr>
      </w:pPr>
    </w:p>
    <w:p>
      <w:pPr>
        <w:ind w:right="20" w:firstLine="8"/>
        <w:spacing w:after="0" w:line="241" w:lineRule="auto"/>
        <w:tabs>
          <w:tab w:leader="none" w:pos="28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Outstandings (with the aggregate Dollar amount of each Lender’s risk participation and funded participation in L/C Obligations and Swing Line Loans) with respect to the Revolving Facility plus (y) the aggregate unused Revolving Commitments, or (b) if the Revolving Commitments have terminated, Lenders then holding more than fifty percent (50%) of the sum of the aggregate outstanding amount of Revolving Loans, outstanding L/C Obligations, amounts of participations in Swing Line Loans and the principal amount of unparticipated portions of Swing Line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89" w:name="page190"/>
    <w:bookmarkEnd w:id="189"/>
    <w:p>
      <w:pPr>
        <w:ind w:right="840"/>
        <w:spacing w:after="0" w:line="273" w:lineRule="auto"/>
        <w:rPr>
          <w:sz w:val="20"/>
          <w:szCs w:val="20"/>
          <w:color w:val="auto"/>
        </w:rPr>
      </w:pPr>
      <w:r>
        <w:rPr>
          <w:rFonts w:ascii="Times New Roman" w:cs="Times New Roman" w:eastAsia="Times New Roman" w:hAnsi="Times New Roman"/>
          <w:sz w:val="20"/>
          <w:szCs w:val="20"/>
          <w:color w:val="auto"/>
        </w:rPr>
        <w:t xml:space="preserve">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unused Revolving Commitment of, and the portion of the Total Outstandings held or deemed held by, any Defaulting Lender shall be excluded for purposes of making a determination of Required Revolving Lenders.</w:t>
      </w:r>
    </w:p>
    <w:p>
      <w:pPr>
        <w:spacing w:after="0" w:line="152" w:lineRule="exact"/>
        <w:rPr>
          <w:sz w:val="20"/>
          <w:szCs w:val="20"/>
          <w:color w:val="auto"/>
        </w:rPr>
      </w:pPr>
    </w:p>
    <w:p>
      <w:pPr>
        <w:ind w:right="4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2"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xml:space="preserve">” means, with respect to a Person, the chief executive officer, chief operating officer, president, executive vice president, chief financial officer, treasurer or assistant treasurer or other similar officer or Person performing similar functions, of such Person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With respect to any document delivered by a Loan Party on the Closing Date, Responsible Officer includes any secretary or assistant secretary of such Loan Party. Any document delivered hereunder that is signed by a Responsible Officer of a Loan Party shall be conclusively presumed to have been authorized by all necessary corporate, partnership or other action on the part of such Loan Party and such Responsible Officer shall be conclusively presumed to have acted on behalf of such Loan Party. Unless otherwise specified, all references herein to a “Responsible Officer” shall refer to a Responsible Officer of the Borrower.</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Investment</w:t>
      </w:r>
      <w:r>
        <w:rPr>
          <w:rFonts w:ascii="Times New Roman" w:cs="Times New Roman" w:eastAsia="Times New Roman" w:hAnsi="Times New Roman"/>
          <w:sz w:val="20"/>
          <w:szCs w:val="20"/>
          <w:color w:val="auto"/>
        </w:rPr>
        <w:t>” means any Investment other than any Permitted Investment(s).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Payments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00" w:firstLine="1497"/>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Subsidiary</w:t>
      </w:r>
      <w:r>
        <w:rPr>
          <w:rFonts w:ascii="Times New Roman" w:cs="Times New Roman" w:eastAsia="Times New Roman" w:hAnsi="Times New Roman"/>
          <w:sz w:val="19"/>
          <w:szCs w:val="19"/>
          <w:color w:val="auto"/>
        </w:rPr>
        <w:t xml:space="preserve">” means, at any time, any direct or indirect Subsidiary of the Borrower (including any Foreign Subsidiary) that is not then an Unrestricted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foregoing, in no event will any Securitization Subsidiary be considered a Restricted Subsidiary for purposes of </w:t>
      </w:r>
      <w:r>
        <w:rPr>
          <w:rFonts w:ascii="Times New Roman" w:cs="Times New Roman" w:eastAsia="Times New Roman" w:hAnsi="Times New Roman"/>
          <w:sz w:val="19"/>
          <w:szCs w:val="19"/>
          <w:u w:val="single" w:color="auto"/>
          <w:color w:val="auto"/>
        </w:rPr>
        <w:t>Section 8.01(5)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upon the occurrence of an Unrestricted Subsidiary ceasing to be an Unrestricted Subsidiary, such Subsidiary will be included in the definition of “Restricted Subsidiary.” Wherever the term “Restricted Subsidiary” is used herein with respect to any Subsidiary of a referenced Person that is not the Borrower, then it will be construed to mean a Person that would be a Restricted Subsidiary of the Borrower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following consummation of one or a series of related transactions involving such referenced Person and the Borrower (unless such transaction would include a designation of a Subsidiary of such Person as an Unrestricted Subsidiary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in accordance with this Agreement).</w:t>
      </w:r>
    </w:p>
    <w:p>
      <w:pPr>
        <w:spacing w:after="0" w:line="173" w:lineRule="exact"/>
        <w:rPr>
          <w:sz w:val="20"/>
          <w:szCs w:val="20"/>
          <w:color w:val="auto"/>
        </w:rPr>
      </w:pPr>
    </w:p>
    <w:p>
      <w:pPr>
        <w:ind w:right="18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Borrowing</w:t>
      </w:r>
      <w:r>
        <w:rPr>
          <w:rFonts w:ascii="Times New Roman" w:cs="Times New Roman" w:eastAsia="Times New Roman" w:hAnsi="Times New Roman"/>
          <w:sz w:val="19"/>
          <w:szCs w:val="19"/>
          <w:color w:val="auto"/>
        </w:rPr>
        <w:t xml:space="preserve">” means a borrowing consisting of simultaneous Revolving Loans of the same Type and, in the case of Term Benchmark Rate Loans, having the same Interest Period, made by each of the Revolving Lenders pursuant to </w:t>
      </w:r>
      <w:r>
        <w:rPr>
          <w:rFonts w:ascii="Times New Roman" w:cs="Times New Roman" w:eastAsia="Times New Roman" w:hAnsi="Times New Roman"/>
          <w:sz w:val="19"/>
          <w:szCs w:val="19"/>
          <w:u w:val="single" w:color="auto"/>
          <w:color w:val="auto"/>
        </w:rPr>
        <w:t>Section 2.01(2)</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ind w:right="20"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w:t>
      </w:r>
      <w:r>
        <w:rPr>
          <w:rFonts w:ascii="Times New Roman" w:cs="Times New Roman" w:eastAsia="Times New Roman" w:hAnsi="Times New Roman"/>
          <w:sz w:val="20"/>
          <w:szCs w:val="20"/>
          <w:color w:val="auto"/>
        </w:rPr>
        <w:t xml:space="preserve">” means, as to each Revolving Lender, its obligation to (1) make Revolving Loans to the Borrower pursuant to </w:t>
      </w:r>
      <w:r>
        <w:rPr>
          <w:rFonts w:ascii="Times New Roman" w:cs="Times New Roman" w:eastAsia="Times New Roman" w:hAnsi="Times New Roman"/>
          <w:sz w:val="20"/>
          <w:szCs w:val="20"/>
          <w:u w:val="single" w:color="auto"/>
          <w:color w:val="auto"/>
        </w:rPr>
        <w:t>Section 2.01(2)</w:t>
      </w:r>
      <w:r>
        <w:rPr>
          <w:rFonts w:ascii="Times New Roman" w:cs="Times New Roman" w:eastAsia="Times New Roman" w:hAnsi="Times New Roman"/>
          <w:sz w:val="20"/>
          <w:szCs w:val="20"/>
          <w:color w:val="auto"/>
        </w:rPr>
        <w:t xml:space="preserve"> and (2) purchase participations in L/C Obligations in respect of Letters of Credit and purchase participations in Swing Line Loans in an aggregate principal amount at any one time outstanding not to exceed the amount specified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“Revolving Commitment” or in the Assignment and Assumption pursuant to which such Lender becomes a party hereto, as applicable, as such amount may be adjusted from time to time in accordance with this Agreement. The aggregate Revolving Commitments of all Revolving Lenders as of the Closing Date is $100,000,000, as such amount may be adjusted from time to time in accordance with the terms of this Agreement.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90" w:name="page191"/>
    <w:bookmarkEnd w:id="190"/>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 Increase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Exposure</w:t>
      </w:r>
      <w:r>
        <w:rPr>
          <w:rFonts w:ascii="Times New Roman" w:cs="Times New Roman" w:eastAsia="Times New Roman" w:hAnsi="Times New Roman"/>
          <w:sz w:val="20"/>
          <w:szCs w:val="20"/>
          <w:color w:val="auto"/>
        </w:rPr>
        <w:t>” means, as to each Revolving Lender, the sum of the amount of the Outstanding Amount of such Revolving Lender’s Revolving Loans and its Applicable Percentage of the amount of the L/C Obligations and Swing Line Obligations at such time.</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Extension Request</w:t>
      </w:r>
      <w:r>
        <w:rPr>
          <w:rFonts w:ascii="Times New Roman" w:cs="Times New Roman" w:eastAsia="Times New Roman" w:hAnsi="Times New Roman"/>
          <w:sz w:val="20"/>
          <w:szCs w:val="20"/>
          <w:color w:val="auto"/>
        </w:rPr>
        <w:t xml:space="preserve">” has the meaning provided in </w:t>
      </w:r>
      <w:r>
        <w:rPr>
          <w:rFonts w:ascii="Times New Roman" w:cs="Times New Roman" w:eastAsia="Times New Roman" w:hAnsi="Times New Roman"/>
          <w:sz w:val="20"/>
          <w:szCs w:val="20"/>
          <w:u w:val="single" w:color="auto"/>
          <w:color w:val="auto"/>
        </w:rPr>
        <w:t>Section 2.16(2)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Extension Series</w:t>
      </w:r>
      <w:r>
        <w:rPr>
          <w:rFonts w:ascii="Times New Roman" w:cs="Times New Roman" w:eastAsia="Times New Roman" w:hAnsi="Times New Roman"/>
          <w:sz w:val="20"/>
          <w:szCs w:val="20"/>
          <w:color w:val="auto"/>
        </w:rPr>
        <w:t xml:space="preserve">” has the meaning provided in </w:t>
      </w:r>
      <w:r>
        <w:rPr>
          <w:rFonts w:ascii="Times New Roman" w:cs="Times New Roman" w:eastAsia="Times New Roman" w:hAnsi="Times New Roman"/>
          <w:sz w:val="20"/>
          <w:szCs w:val="20"/>
          <w:u w:val="single" w:color="auto"/>
          <w:color w:val="auto"/>
        </w:rPr>
        <w:t>Section 2.16(2)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Facility</w:t>
      </w:r>
      <w:r>
        <w:rPr>
          <w:rFonts w:ascii="Times New Roman" w:cs="Times New Roman" w:eastAsia="Times New Roman" w:hAnsi="Times New Roman"/>
          <w:sz w:val="20"/>
          <w:szCs w:val="20"/>
          <w:color w:val="auto"/>
        </w:rPr>
        <w:t>” means, at any time, the aggregate amount of the Revolving Commitments at such time; provided that for the avoidance of doubt, the Revolving Facility shall include the Extended Revolving Commitments.</w:t>
      </w:r>
    </w:p>
    <w:p>
      <w:pPr>
        <w:spacing w:after="0" w:line="152" w:lineRule="exact"/>
        <w:rPr>
          <w:sz w:val="20"/>
          <w:szCs w:val="20"/>
          <w:color w:val="auto"/>
        </w:rPr>
      </w:pPr>
    </w:p>
    <w:p>
      <w:pPr>
        <w:ind w:right="4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Lender</w:t>
      </w:r>
      <w:r>
        <w:rPr>
          <w:rFonts w:ascii="Times New Roman" w:cs="Times New Roman" w:eastAsia="Times New Roman" w:hAnsi="Times New Roman"/>
          <w:sz w:val="20"/>
          <w:szCs w:val="20"/>
          <w:color w:val="auto"/>
        </w:rPr>
        <w:t>” means, at any time, any Lender that has a Revolving Commitment at such time or, if Revolving Commitments have terminated, Revolving Exposure.</w:t>
      </w:r>
    </w:p>
    <w:p>
      <w:pPr>
        <w:spacing w:after="0" w:line="152" w:lineRule="exact"/>
        <w:rPr>
          <w:sz w:val="20"/>
          <w:szCs w:val="20"/>
          <w:color w:val="auto"/>
        </w:rPr>
      </w:pPr>
    </w:p>
    <w:p>
      <w:pPr>
        <w:ind w:right="180" w:firstLine="1497"/>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Loan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2.01(2)</w:t>
      </w:r>
      <w:r>
        <w:rPr>
          <w:rFonts w:ascii="Times New Roman" w:cs="Times New Roman" w:eastAsia="Times New Roman" w:hAnsi="Times New Roman"/>
          <w:sz w:val="19"/>
          <w:szCs w:val="19"/>
          <w:color w:val="auto"/>
        </w:rPr>
        <w:t xml:space="preserve"> and includes Revolving Loans under the Closing Date Revolving Facility, Incremental Revolving Loans, Other Revolving Loans and Loans made pursuant to Extended Revolving Commitments.</w:t>
      </w:r>
    </w:p>
    <w:p>
      <w:pPr>
        <w:spacing w:after="0" w:line="129" w:lineRule="exact"/>
        <w:rPr>
          <w:sz w:val="20"/>
          <w:szCs w:val="20"/>
          <w:color w:val="auto"/>
        </w:rPr>
      </w:pPr>
    </w:p>
    <w:p>
      <w:pPr>
        <w:jc w:val="both"/>
        <w:ind w:right="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Note</w:t>
      </w:r>
      <w:r>
        <w:rPr>
          <w:rFonts w:ascii="Times New Roman" w:cs="Times New Roman" w:eastAsia="Times New Roman" w:hAnsi="Times New Roman"/>
          <w:sz w:val="20"/>
          <w:szCs w:val="20"/>
          <w:color w:val="auto"/>
        </w:rPr>
        <w:t xml:space="preserve">” means a promissory note of the Borrower payable to any Revolving Lender or its registered assigns, in substantially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hereto, evidencing the aggregate Indebtedness of the Borrower to such Revolving Lender resulting from the Revolving Loans made by such Revolving Lender.</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S&amp;P</w:t>
      </w:r>
      <w:r>
        <w:rPr>
          <w:rFonts w:ascii="Times New Roman" w:cs="Times New Roman" w:eastAsia="Times New Roman" w:hAnsi="Times New Roman"/>
          <w:sz w:val="20"/>
          <w:szCs w:val="20"/>
          <w:color w:val="auto"/>
        </w:rPr>
        <w:t>” means S&amp;P Global Ratings, a division of S&amp;P Global Inc., and any successor to its rating agency business.</w:t>
      </w:r>
    </w:p>
    <w:p>
      <w:pPr>
        <w:spacing w:after="0" w:line="216" w:lineRule="exact"/>
        <w:rPr>
          <w:sz w:val="20"/>
          <w:szCs w:val="20"/>
          <w:color w:val="auto"/>
        </w:rPr>
      </w:pPr>
    </w:p>
    <w:p>
      <w:pPr>
        <w:ind w:right="50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Sale-Leaseback Transaction</w:t>
      </w:r>
      <w:r>
        <w:rPr>
          <w:rFonts w:ascii="Times New Roman" w:cs="Times New Roman" w:eastAsia="Times New Roman" w:hAnsi="Times New Roman"/>
          <w:sz w:val="20"/>
          <w:szCs w:val="20"/>
          <w:color w:val="auto"/>
        </w:rPr>
        <w:t>” means any arrangement providing for the leasing by the Borrower or any Restricted Subsidiary of any real or tangible personal property, which property has been or is to be sold or transferred by the Borrower or such Restricted Subsidiary to a third Person in contemplation of such leasing.</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Same Day Funds</w:t>
      </w:r>
      <w:r>
        <w:rPr>
          <w:rFonts w:ascii="Times New Roman" w:cs="Times New Roman" w:eastAsia="Times New Roman" w:hAnsi="Times New Roman"/>
          <w:sz w:val="20"/>
          <w:szCs w:val="20"/>
          <w:color w:val="auto"/>
        </w:rPr>
        <w:t>” means disbursements and payments in immediately available funds.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U.S. Securities and Exchange Commission, or any Governmental Authority succeeding to any of its principal functions.</w:t>
      </w:r>
    </w:p>
    <w:p>
      <w:pPr>
        <w:spacing w:after="0" w:line="152"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Cash Management Agreement</w:t>
      </w:r>
      <w:r>
        <w:rPr>
          <w:rFonts w:ascii="Times New Roman" w:cs="Times New Roman" w:eastAsia="Times New Roman" w:hAnsi="Times New Roman"/>
          <w:sz w:val="20"/>
          <w:szCs w:val="20"/>
          <w:color w:val="auto"/>
        </w:rPr>
        <w:t>” means any Cash Management Agreement that is (1) entered into by and between Holdings, the Borrower or any Restricted Subsidiary and a Cash Management Bank and (2) designated in writing by the Borrower to the Administrative Agent as a “Secured Cash Management Agreement.”</w:t>
      </w:r>
    </w:p>
    <w:p>
      <w:pPr>
        <w:spacing w:after="0" w:line="16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Hedge Agreement</w:t>
      </w:r>
      <w:r>
        <w:rPr>
          <w:rFonts w:ascii="Times New Roman" w:cs="Times New Roman" w:eastAsia="Times New Roman" w:hAnsi="Times New Roman"/>
          <w:sz w:val="20"/>
          <w:szCs w:val="20"/>
          <w:color w:val="auto"/>
        </w:rPr>
        <w:t xml:space="preserve">” means any Hedge Agreement with respect to Hedging Obligations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that is (1) entered into by and between any Loan Party or Restricted Subsidiary and any Hedge Bank and (2) designated in writing by the Borrower to the Administrative Agent as a “Secured Hedge Agreement.”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1" w:name="page192"/>
    <w:bookmarkEnd w:id="191"/>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Indebtedness</w:t>
      </w:r>
      <w:r>
        <w:rPr>
          <w:rFonts w:ascii="Times New Roman" w:cs="Times New Roman" w:eastAsia="Times New Roman" w:hAnsi="Times New Roman"/>
          <w:sz w:val="20"/>
          <w:szCs w:val="20"/>
          <w:color w:val="auto"/>
        </w:rPr>
        <w:t>” means any Indebtedness of the Borrower or any Restricted Subsidiary secured by a Lien.</w:t>
      </w:r>
    </w:p>
    <w:p>
      <w:pPr>
        <w:spacing w:after="0" w:line="216" w:lineRule="exact"/>
        <w:rPr>
          <w:sz w:val="20"/>
          <w:szCs w:val="20"/>
          <w:color w:val="auto"/>
        </w:rPr>
      </w:pPr>
    </w:p>
    <w:p>
      <w:pPr>
        <w:ind w:right="14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Net Leverage Ratio</w:t>
      </w:r>
      <w:r>
        <w:rPr>
          <w:rFonts w:ascii="Times New Roman" w:cs="Times New Roman" w:eastAsia="Times New Roman" w:hAnsi="Times New Roman"/>
          <w:sz w:val="20"/>
          <w:szCs w:val="20"/>
          <w:color w:val="auto"/>
        </w:rPr>
        <w:t xml:space="preserve">” means, with respect to any Test Period, the ratio of (1) Consolidated Secured Debt outstanding as of the last day of such Test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Unrestricted Cash Amount on such last day to (2) Consolidated EBITDA of the Borrower for such Test Period, in each case on a pro forma basis with such pro forma adjustments as are appropriate and consistent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right="100" w:firstLine="14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Parties</w:t>
      </w:r>
      <w:r>
        <w:rPr>
          <w:rFonts w:ascii="Times New Roman" w:cs="Times New Roman" w:eastAsia="Times New Roman" w:hAnsi="Times New Roman"/>
          <w:sz w:val="20"/>
          <w:szCs w:val="20"/>
          <w:color w:val="auto"/>
        </w:rPr>
        <w:t xml:space="preserve">” means, collectively, the Administrative Agent, the Collateral Agent, the Lenders, each Issuing Bank, each Hedge Bank, each Cash Management Bank, each Supplemental Administrative Agent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9.07</w:t>
      </w:r>
      <w:r>
        <w:rPr>
          <w:rFonts w:ascii="Times New Roman" w:cs="Times New Roman" w:eastAsia="Times New Roman" w:hAnsi="Times New Roman"/>
          <w:sz w:val="20"/>
          <w:szCs w:val="20"/>
          <w:color w:val="auto"/>
        </w:rPr>
        <w:t>. For the avoidance of doubt, unless otherwise agreed to by the Borrower and any applicable Hedge Bank or Cash Management Bank, such Hedge Bank or such Cash Management Bank shall be a Secured Party only to the extent that, and only for so long as, the Obligations (other than the obligations of Holdings, a Borrower or any Subsidiary under any Secured Hedge Agreement and under any Secured Cash Management Agreement) are secured and guaranteed pursuant to the Collateral Documents and the Guaranty.</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 and the rules and regulations of the SEC promulgated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thereunder.</w:t>
      </w:r>
    </w:p>
    <w:p>
      <w:pPr>
        <w:spacing w:after="0" w:line="190" w:lineRule="exact"/>
        <w:rPr>
          <w:sz w:val="20"/>
          <w:szCs w:val="20"/>
          <w:color w:val="auto"/>
        </w:rPr>
      </w:pPr>
    </w:p>
    <w:p>
      <w:pPr>
        <w:ind w:right="12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Securitization Assets</w:t>
      </w:r>
      <w:r>
        <w:rPr>
          <w:rFonts w:ascii="Times New Roman" w:cs="Times New Roman" w:eastAsia="Times New Roman" w:hAnsi="Times New Roman"/>
          <w:sz w:val="20"/>
          <w:szCs w:val="20"/>
          <w:color w:val="auto"/>
        </w:rPr>
        <w:t>” means (1) the accounts receivable, royalty or other revenue streams and other rights to payment and other assets related thereto subject to a Qualified Securitization Facility and the proceeds thereof and (2) contract rights, lockbox accounts and records with respect to such accounts receivable and any other assets customarily transferred together with accounts receivable in a securitization financing.</w:t>
      </w:r>
    </w:p>
    <w:p>
      <w:pPr>
        <w:spacing w:after="0" w:line="176" w:lineRule="exact"/>
        <w:rPr>
          <w:sz w:val="20"/>
          <w:szCs w:val="20"/>
          <w:color w:val="auto"/>
        </w:rPr>
      </w:pPr>
    </w:p>
    <w:p>
      <w:pPr>
        <w:ind w:right="160" w:firstLine="1497"/>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Securitization Facility</w:t>
      </w:r>
      <w:r>
        <w:rPr>
          <w:rFonts w:ascii="Times New Roman" w:cs="Times New Roman" w:eastAsia="Times New Roman" w:hAnsi="Times New Roman"/>
          <w:sz w:val="19"/>
          <w:szCs w:val="19"/>
          <w:color w:val="auto"/>
        </w:rPr>
        <w:t>” means any transaction or series of securitization financings that may be entered into by the Borrower or any Restricted Subsidiary pursuant to which the Borrower or any such Restricted Subsidiary may sell, convey or otherwise transfer, or may grant a security interest in, Securitization Assets to either (1) a Person that is not the Borrower or a Restricted Subsidiary or</w:t>
      </w:r>
    </w:p>
    <w:p>
      <w:pPr>
        <w:spacing w:after="0" w:line="2" w:lineRule="exact"/>
        <w:rPr>
          <w:sz w:val="20"/>
          <w:szCs w:val="20"/>
          <w:color w:val="auto"/>
        </w:rPr>
      </w:pPr>
    </w:p>
    <w:p>
      <w:pPr>
        <w:ind w:right="160" w:firstLine="8"/>
        <w:spacing w:after="0" w:line="246" w:lineRule="auto"/>
        <w:tabs>
          <w:tab w:leader="none" w:pos="2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Securitization Subsidiary that in turn sells such Securitization Assets to a Person that is not the Borrower or a Restricted Subsidiary, or may grant a security interest in any Securitization Assets of the Borrower or any of its Subsidiaries.</w:t>
      </w:r>
    </w:p>
    <w:p>
      <w:pPr>
        <w:spacing w:after="0" w:line="178" w:lineRule="exact"/>
        <w:rPr>
          <w:sz w:val="20"/>
          <w:szCs w:val="20"/>
          <w:color w:val="auto"/>
        </w:rPr>
      </w:pPr>
    </w:p>
    <w:p>
      <w:pPr>
        <w:ind w:right="4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Securitization Fees</w:t>
      </w:r>
      <w:r>
        <w:rPr>
          <w:rFonts w:ascii="Times New Roman" w:cs="Times New Roman" w:eastAsia="Times New Roman" w:hAnsi="Times New Roman"/>
          <w:sz w:val="20"/>
          <w:szCs w:val="20"/>
          <w:color w:val="auto"/>
        </w:rPr>
        <w:t>” means distributions or payments made directly or by means of discounts with respect to any participation interest issued or sold in connection with, and other fees and expenses (including reasonable fees and expenses of legal counsel) paid to a Person that is not a Securitization Subsidiary in connection with, any Qualified Securitization Facility.</w:t>
      </w:r>
    </w:p>
    <w:p>
      <w:pPr>
        <w:spacing w:after="0" w:line="169"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Securitization Subsidiary</w:t>
      </w:r>
      <w:r>
        <w:rPr>
          <w:rFonts w:ascii="Times New Roman" w:cs="Times New Roman" w:eastAsia="Times New Roman" w:hAnsi="Times New Roman"/>
          <w:sz w:val="20"/>
          <w:szCs w:val="20"/>
          <w:color w:val="auto"/>
        </w:rPr>
        <w:t>” means any Subsidiary formed for the purpose of, and that solely engages only in one or more Qualified Securitization Facilities and other activities reasonably related thereto.</w:t>
      </w:r>
    </w:p>
    <w:p>
      <w:pPr>
        <w:spacing w:after="0" w:line="152" w:lineRule="exact"/>
        <w:rPr>
          <w:sz w:val="20"/>
          <w:szCs w:val="20"/>
          <w:color w:val="auto"/>
        </w:rPr>
      </w:pPr>
    </w:p>
    <w:p>
      <w:pPr>
        <w:jc w:val="both"/>
        <w:ind w:right="40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xml:space="preserve">” means, collectively, the Pledge and Security Agreement executed by the Loan Parties and the Collateral Agent,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together with supplements or joinders thereto executed and delivered pursuant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Services Agreement</w:t>
      </w:r>
      <w:r>
        <w:rPr>
          <w:rFonts w:ascii="Times New Roman" w:cs="Times New Roman" w:eastAsia="Times New Roman" w:hAnsi="Times New Roman"/>
          <w:sz w:val="20"/>
          <w:szCs w:val="20"/>
          <w:color w:val="auto"/>
        </w:rPr>
        <w:t>” has the meaning specified in the definition of “Affiliated Practices.”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2" w:name="page193"/>
    <w:bookmarkEnd w:id="192"/>
    <w:p>
      <w:pPr>
        <w:ind w:right="1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Shared Non-Guarantor Debt Cap</w:t>
      </w:r>
      <w:r>
        <w:rPr>
          <w:rFonts w:ascii="Times New Roman" w:cs="Times New Roman" w:eastAsia="Times New Roman" w:hAnsi="Times New Roman"/>
          <w:sz w:val="20"/>
          <w:szCs w:val="20"/>
          <w:color w:val="auto"/>
        </w:rPr>
        <w:t>” means the greater of (x) $43,000,000 and (y) 40% of Consolidated EBITDA of the Borrower for the most recently ended Test Period (calculated on a pro forma basis).</w:t>
      </w:r>
    </w:p>
    <w:p>
      <w:pPr>
        <w:spacing w:after="0" w:line="152" w:lineRule="exact"/>
        <w:rPr>
          <w:sz w:val="20"/>
          <w:szCs w:val="20"/>
          <w:color w:val="auto"/>
        </w:rPr>
      </w:pPr>
    </w:p>
    <w:p>
      <w:pPr>
        <w:ind w:right="1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Shared Non-Guarantor Investment Cap</w:t>
      </w:r>
      <w:r>
        <w:rPr>
          <w:rFonts w:ascii="Times New Roman" w:cs="Times New Roman" w:eastAsia="Times New Roman" w:hAnsi="Times New Roman"/>
          <w:sz w:val="20"/>
          <w:szCs w:val="20"/>
          <w:color w:val="auto"/>
        </w:rPr>
        <w:t>” means the greater of (x) $43,000,000 and (y) 40% of Consolidated EBITDA of the Borrower for the most recently ended Test Period (calculated on a pro forma basis).</w:t>
      </w:r>
    </w:p>
    <w:p>
      <w:pPr>
        <w:spacing w:after="0" w:line="152"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Significant Subsidiary</w:t>
      </w:r>
      <w:r>
        <w:rPr>
          <w:rFonts w:ascii="Times New Roman" w:cs="Times New Roman" w:eastAsia="Times New Roman" w:hAnsi="Times New Roman"/>
          <w:sz w:val="20"/>
          <w:szCs w:val="20"/>
          <w:color w:val="auto"/>
        </w:rPr>
        <w:t>” means any Restricted Subsidiary that would be a “significant subsidiary” as defined in Article 1, Rule 1-02 of Regulation S-X of the SEC, as such regulation is in effect on the Closing Date.</w:t>
      </w:r>
    </w:p>
    <w:p>
      <w:pPr>
        <w:spacing w:after="0" w:line="152" w:lineRule="exact"/>
        <w:rPr>
          <w:sz w:val="20"/>
          <w:szCs w:val="20"/>
          <w:color w:val="auto"/>
        </w:rPr>
      </w:pPr>
    </w:p>
    <w:p>
      <w:pPr>
        <w:ind w:right="18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Similar Business</w:t>
      </w:r>
      <w:r>
        <w:rPr>
          <w:rFonts w:ascii="Times New Roman" w:cs="Times New Roman" w:eastAsia="Times New Roman" w:hAnsi="Times New Roman"/>
          <w:sz w:val="20"/>
          <w:szCs w:val="20"/>
          <w:color w:val="auto"/>
        </w:rPr>
        <w:t>” means (1) any business conducted or proposed to be conducted by the Borrower or any Restricted Subsidiary on the Closing Date or (2) any business or other activities that are reasonably similar, ancillary, incidental, complementary or related to (including non-core incidental businesses acquired in connection with any Permitted Investment), or a reasonable extension, development or expansion of, the businesses that the Borrower and its Restricted Subsidiaries conduct or propose to conduct on the Closing Date.</w:t>
      </w:r>
    </w:p>
    <w:p>
      <w:pPr>
        <w:spacing w:after="0" w:line="180" w:lineRule="exact"/>
        <w:rPr>
          <w:sz w:val="20"/>
          <w:szCs w:val="20"/>
          <w:color w:val="auto"/>
        </w:rPr>
      </w:pPr>
    </w:p>
    <w:p>
      <w:pPr>
        <w:ind w:right="380" w:firstLine="1497"/>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SOFR</w:t>
      </w:r>
      <w:r>
        <w:rPr>
          <w:rFonts w:ascii="Times New Roman" w:cs="Times New Roman" w:eastAsia="Times New Roman" w:hAnsi="Times New Roman"/>
          <w:sz w:val="19"/>
          <w:szCs w:val="19"/>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Solicited Discount Proration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Solicited Discounted Prepayment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Solicited Discounted Prepayment Notice</w:t>
      </w:r>
      <w:r>
        <w:rPr>
          <w:rFonts w:ascii="Times New Roman" w:cs="Times New Roman" w:eastAsia="Times New Roman" w:hAnsi="Times New Roman"/>
          <w:sz w:val="20"/>
          <w:szCs w:val="20"/>
          <w:color w:val="auto"/>
        </w:rPr>
        <w:t xml:space="preserve">” means a written notice of the Borrower of Solicited Discounted Prepayment Offers made pursuant to </w:t>
      </w:r>
      <w:r>
        <w:rPr>
          <w:rFonts w:ascii="Times New Roman" w:cs="Times New Roman" w:eastAsia="Times New Roman" w:hAnsi="Times New Roman"/>
          <w:sz w:val="20"/>
          <w:szCs w:val="20"/>
          <w:u w:val="single" w:color="auto"/>
          <w:color w:val="auto"/>
        </w:rPr>
        <w:t>Section 2.05(1)(e)(D)</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right="2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Solicited Discounted Prepayment Offer</w:t>
      </w:r>
      <w:r>
        <w:rPr>
          <w:rFonts w:ascii="Times New Roman" w:cs="Times New Roman" w:eastAsia="Times New Roman" w:hAnsi="Times New Roman"/>
          <w:sz w:val="20"/>
          <w:szCs w:val="20"/>
          <w:color w:val="auto"/>
        </w:rPr>
        <w:t xml:space="preserve">” means the written offer by each Lender,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submitted following the Administrative Agent’s receipt of a Solicited Discounted Prepayment Notice.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Solicited Discounted Prepayment Response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2.05(1)(e)(D)(1)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Solvency</w:t>
      </w:r>
      <w:r>
        <w:rPr>
          <w:rFonts w:ascii="Times New Roman" w:cs="Times New Roman" w:eastAsia="Times New Roman" w:hAnsi="Times New Roman"/>
          <w:sz w:val="20"/>
          <w:szCs w:val="20"/>
          <w:color w:val="auto"/>
        </w:rPr>
        <w:t>” mean, with respect to any Person on any date of determination, that on such date:</w:t>
      </w:r>
    </w:p>
    <w:p>
      <w:pPr>
        <w:spacing w:after="0" w:line="220" w:lineRule="exact"/>
        <w:rPr>
          <w:sz w:val="20"/>
          <w:szCs w:val="20"/>
          <w:color w:val="auto"/>
        </w:rPr>
      </w:pPr>
    </w:p>
    <w:p>
      <w:pPr>
        <w:ind w:left="760" w:right="260" w:firstLine="745"/>
        <w:spacing w:after="0" w:line="269" w:lineRule="auto"/>
        <w:tabs>
          <w:tab w:leader="none" w:pos="19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the assets of such Person (on a going concern basis) exceeds its debts and liabilities, subordinated, contingent or otherwise,</w:t>
      </w:r>
    </w:p>
    <w:p>
      <w:pPr>
        <w:spacing w:after="0" w:line="159" w:lineRule="exact"/>
        <w:rPr>
          <w:rFonts w:ascii="Times New Roman" w:cs="Times New Roman" w:eastAsia="Times New Roman" w:hAnsi="Times New Roman"/>
          <w:sz w:val="20"/>
          <w:szCs w:val="20"/>
          <w:color w:val="auto"/>
        </w:rPr>
      </w:pPr>
    </w:p>
    <w:p>
      <w:pPr>
        <w:ind w:left="760" w:right="300" w:firstLine="745"/>
        <w:spacing w:after="0" w:line="254" w:lineRule="auto"/>
        <w:tabs>
          <w:tab w:leader="none" w:pos="19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present fair saleable value of the property of such Person (on a going concern basis) is greater than the amount that will be required to pay the probable liability of its debts and other liabilities, subordinated, contingent or otherwise, as such debts and other liabilities become absolute and matured,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3" w:name="page194"/>
    <w:bookmarkEnd w:id="193"/>
    <w:p>
      <w:pPr>
        <w:ind w:left="760" w:right="240" w:firstLine="745"/>
        <w:spacing w:after="0" w:line="269"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able to pay its debts and liabilities, subordinated, contingent or otherwise, as such liabilities become absolute and matured,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is not engaged in, and is not about to engage in, business for which it has unreasonably small capital.</w:t>
      </w:r>
    </w:p>
    <w:p>
      <w:pPr>
        <w:spacing w:after="0" w:line="21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The amount of any contingent liability at any time shall be computed as the amount that would reasonably be expected to become an actual and matured liability.</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Discount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2.05(1)(e)(B)(1)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Discount Prepayment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2.05(1)(e)(B)(1)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7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Discount Prepayment Notice</w:t>
      </w:r>
      <w:r>
        <w:rPr>
          <w:rFonts w:ascii="Times New Roman" w:cs="Times New Roman" w:eastAsia="Times New Roman" w:hAnsi="Times New Roman"/>
          <w:sz w:val="20"/>
          <w:szCs w:val="20"/>
          <w:color w:val="auto"/>
        </w:rPr>
        <w:t xml:space="preserve">” means a written notice of the Borrower’s Offer of Specified Discount Prepayment made pursuant to </w:t>
      </w:r>
      <w:r>
        <w:rPr>
          <w:rFonts w:ascii="Times New Roman" w:cs="Times New Roman" w:eastAsia="Times New Roman" w:hAnsi="Times New Roman"/>
          <w:sz w:val="20"/>
          <w:szCs w:val="20"/>
          <w:u w:val="single" w:color="auto"/>
          <w:color w:val="auto"/>
        </w:rPr>
        <w:t>Section 2.05(1)(e)(B)</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N</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60" w:right="34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Discount Prepayment Response</w:t>
      </w:r>
      <w:r>
        <w:rPr>
          <w:rFonts w:ascii="Times New Roman" w:cs="Times New Roman" w:eastAsia="Times New Roman" w:hAnsi="Times New Roman"/>
          <w:sz w:val="20"/>
          <w:szCs w:val="20"/>
          <w:color w:val="auto"/>
        </w:rPr>
        <w:t xml:space="preserve">” means the written response by each Lender, substantially in the form of </w:t>
      </w:r>
      <w:r>
        <w:rPr>
          <w:rFonts w:ascii="Times New Roman" w:cs="Times New Roman" w:eastAsia="Times New Roman" w:hAnsi="Times New Roman"/>
          <w:sz w:val="20"/>
          <w:szCs w:val="20"/>
          <w:u w:val="single" w:color="auto"/>
          <w:color w:val="auto"/>
        </w:rPr>
        <w:t>Exhibit P</w:t>
      </w:r>
      <w:r>
        <w:rPr>
          <w:rFonts w:ascii="Times New Roman" w:cs="Times New Roman" w:eastAsia="Times New Roman" w:hAnsi="Times New Roman"/>
          <w:sz w:val="20"/>
          <w:szCs w:val="20"/>
          <w:color w:val="auto"/>
        </w:rPr>
        <w:t>, to a Specified Discount Prepayment Notice.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Discount Prepayment Response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2.05(1)(e)(B)(1)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Discount Proration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Indebtedness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10.01(1)(VII)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Loan Party Acquisition Threshold</w:t>
      </w:r>
      <w:r>
        <w:rPr>
          <w:rFonts w:ascii="Times New Roman" w:cs="Times New Roman" w:eastAsia="Times New Roman" w:hAnsi="Times New Roman"/>
          <w:sz w:val="20"/>
          <w:szCs w:val="20"/>
          <w:color w:val="auto"/>
        </w:rPr>
        <w:t>” has the meaning specified in clause (3) of the definition of “Permitted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Investments.”</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Transaction</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60" w:firstLine="745"/>
        <w:spacing w:after="0" w:line="269"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for the purposes of determining the applicable cash balance, any contribution of capital, including as a result of an Equity Offering, in each case, in connection with an acquisition or Investment, to the Borrower,</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49"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designation of operations or assets of the Borrower or a Restricted Subsidiary as discontinued operations (as defined under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operations or assets of the Borrower or a Restricted Subsidiary that are held for sale or are subject to an agreement to dispose of such operations or assets may, at the Borrower’s election (in its sole discretion), be designated as discontinued operations under this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only when and to the extent such operations are actually disposed of),</w:t>
      </w:r>
    </w:p>
    <w:p>
      <w:pPr>
        <w:spacing w:after="0" w:line="179"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Permitted Acquisition, Investment or other similar transaction, in each case, that results in a Person becoming a Restricted Subsidiary, an Affiliated Practice (or a Subsidiary of an Affiliated Practice) or a Clinical Facility,</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designation of a Subsidiary as a Restricted Subsidiary or an Unrestricted Subsidiary in compliance with this</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4" w:name="page195"/>
    <w:bookmarkEnd w:id="194"/>
    <w:p>
      <w:pPr>
        <w:ind w:left="760" w:right="20" w:firstLine="745"/>
        <w:spacing w:after="0" w:line="269" w:lineRule="auto"/>
        <w:tabs>
          <w:tab w:leader="none" w:pos="1904"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or other acquisition of a business of any Person or of assets constituting a business unit, line of business or division of any Person,</w:t>
      </w:r>
    </w:p>
    <w:p>
      <w:pPr>
        <w:spacing w:after="0" w:line="159" w:lineRule="exact"/>
        <w:rPr>
          <w:rFonts w:ascii="Times New Roman" w:cs="Times New Roman" w:eastAsia="Times New Roman" w:hAnsi="Times New Roman"/>
          <w:sz w:val="20"/>
          <w:szCs w:val="20"/>
          <w:color w:val="auto"/>
        </w:rPr>
      </w:pPr>
    </w:p>
    <w:p>
      <w:pPr>
        <w:ind w:left="760" w:right="120" w:firstLine="745"/>
        <w:spacing w:after="0" w:line="260" w:lineRule="auto"/>
        <w:tabs>
          <w:tab w:leader="none" w:pos="1904"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Asset Sale (without regard to any de minimis thresholds set forth therein) (a) that results in a Restricted Subsidiary ceasing to be a Subsidiary of the Borrower, (b) of a business, business unit, line of business or division of the Borrower or a Restricted Subsidiary or an Affiliated Practice, in each case whether by merger, amalgamation, consolidation or otherwise or</w:t>
      </w:r>
    </w:p>
    <w:p>
      <w:pPr>
        <w:ind w:left="760" w:right="80" w:hanging="3"/>
        <w:spacing w:after="0" w:line="246" w:lineRule="auto"/>
        <w:tabs>
          <w:tab w:leader="none" w:pos="1029"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results in an Affiliated Practice ceasing to be an Affiliated Practice (or a Subsidiary of an Affiliated Practice ceasing to be a Subsidiary thereof),</w:t>
      </w:r>
    </w:p>
    <w:p>
      <w:pPr>
        <w:spacing w:after="0" w:line="181" w:lineRule="exact"/>
        <w:rPr>
          <w:rFonts w:ascii="Times New Roman" w:cs="Times New Roman" w:eastAsia="Times New Roman" w:hAnsi="Times New Roman"/>
          <w:sz w:val="20"/>
          <w:szCs w:val="20"/>
          <w:color w:val="auto"/>
        </w:rPr>
      </w:pPr>
    </w:p>
    <w:p>
      <w:pPr>
        <w:ind w:left="760" w:right="840" w:firstLine="745"/>
        <w:spacing w:after="0" w:line="269" w:lineRule="auto"/>
        <w:tabs>
          <w:tab w:leader="none" w:pos="190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operational changes identified by the Borrower that have been made by the Borrower or any Restricted Subsidiary during the Test Period,</w:t>
      </w:r>
    </w:p>
    <w:p>
      <w:pPr>
        <w:spacing w:after="0" w:line="159" w:lineRule="exact"/>
        <w:rPr>
          <w:rFonts w:ascii="Times New Roman" w:cs="Times New Roman" w:eastAsia="Times New Roman" w:hAnsi="Times New Roman"/>
          <w:sz w:val="20"/>
          <w:szCs w:val="20"/>
          <w:color w:val="auto"/>
        </w:rPr>
      </w:pPr>
    </w:p>
    <w:p>
      <w:pPr>
        <w:ind w:left="760" w:right="420" w:firstLine="745"/>
        <w:spacing w:after="0" w:line="269" w:lineRule="auto"/>
        <w:tabs>
          <w:tab w:leader="none" w:pos="190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borrowing of Incremental Loans or Permitted Incremental Equivalent Debt (or establishment of Incremental Commitments), or</w:t>
      </w:r>
    </w:p>
    <w:p>
      <w:pPr>
        <w:spacing w:after="0" w:line="159" w:lineRule="exact"/>
        <w:rPr>
          <w:rFonts w:ascii="Times New Roman" w:cs="Times New Roman" w:eastAsia="Times New Roman" w:hAnsi="Times New Roman"/>
          <w:sz w:val="20"/>
          <w:szCs w:val="20"/>
          <w:color w:val="auto"/>
        </w:rPr>
      </w:pPr>
    </w:p>
    <w:p>
      <w:pPr>
        <w:ind w:left="760" w:right="100" w:firstLine="745"/>
        <w:spacing w:after="0" w:line="269" w:lineRule="auto"/>
        <w:tabs>
          <w:tab w:leader="none" w:pos="190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Payment or other transaction that by the terms of this Agreement requires a Financial Incurrence Test to be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Submitted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2.05(1)(e)(C)(1)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Submitted Discount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2.05(1)(e)(C)(1)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w:t>
      </w:r>
    </w:p>
    <w:p>
      <w:pPr>
        <w:spacing w:after="0" w:line="220" w:lineRule="exact"/>
        <w:rPr>
          <w:sz w:val="20"/>
          <w:szCs w:val="20"/>
          <w:color w:val="auto"/>
        </w:rPr>
      </w:pPr>
    </w:p>
    <w:p>
      <w:pPr>
        <w:ind w:left="760" w:firstLine="745"/>
        <w:spacing w:after="0" w:line="246" w:lineRule="auto"/>
        <w:tabs>
          <w:tab w:leader="none" w:pos="190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corporation, association or other business entity (other than a partnership, joint venture, limited liability company or similar Person) of which more than 50.0% of the total voting power of shares of Capital Stock entitled (without regard to the occurrence of any contingency) to vote in the election of directors, members of management or trustees thereof is at the time of determination owned or controlled, directly or indirectly, by such Person or one or more of the other Subsidiaries of that Person or a combination thereof; and</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partnership, joint venture, limited liability company or similar Person of which:</w:t>
      </w:r>
    </w:p>
    <w:p>
      <w:pPr>
        <w:spacing w:after="0" w:line="215" w:lineRule="exact"/>
        <w:rPr>
          <w:rFonts w:ascii="Times New Roman" w:cs="Times New Roman" w:eastAsia="Times New Roman" w:hAnsi="Times New Roman"/>
          <w:sz w:val="20"/>
          <w:szCs w:val="20"/>
          <w:color w:val="auto"/>
        </w:rPr>
      </w:pPr>
    </w:p>
    <w:p>
      <w:pPr>
        <w:ind w:left="1500" w:right="160" w:firstLine="754"/>
        <w:spacing w:after="0" w:line="249" w:lineRule="auto"/>
        <w:tabs>
          <w:tab w:leader="none" w:pos="264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179" w:lineRule="exact"/>
        <w:rPr>
          <w:rFonts w:ascii="Times New Roman" w:cs="Times New Roman" w:eastAsia="Times New Roman" w:hAnsi="Times New Roman"/>
          <w:sz w:val="20"/>
          <w:szCs w:val="20"/>
          <w:color w:val="auto"/>
        </w:rPr>
      </w:pPr>
    </w:p>
    <w:p>
      <w:pPr>
        <w:ind w:left="1500" w:right="600" w:firstLine="754"/>
        <w:spacing w:after="0" w:line="269" w:lineRule="auto"/>
        <w:tabs>
          <w:tab w:leader="none" w:pos="264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or any Restricted Subsidiary of such Person is a controlling general partner or otherwise controls such Person.</w:t>
      </w:r>
    </w:p>
    <w:p>
      <w:pPr>
        <w:spacing w:after="0" w:line="159" w:lineRule="exact"/>
        <w:rPr>
          <w:sz w:val="20"/>
          <w:szCs w:val="20"/>
          <w:color w:val="auto"/>
        </w:rPr>
      </w:pPr>
    </w:p>
    <w:p>
      <w:pPr>
        <w:ind w:right="40" w:firstLine="1497"/>
        <w:spacing w:after="0" w:line="254" w:lineRule="auto"/>
        <w:rPr>
          <w:sz w:val="20"/>
          <w:szCs w:val="20"/>
          <w:color w:val="auto"/>
        </w:rPr>
      </w:pPr>
      <w:r>
        <w:rPr>
          <w:rFonts w:ascii="Times New Roman" w:cs="Times New Roman" w:eastAsia="Times New Roman" w:hAnsi="Times New Roman"/>
          <w:sz w:val="20"/>
          <w:szCs w:val="20"/>
          <w:color w:val="auto"/>
        </w:rPr>
        <w:t>Unless otherwise specified, all references herein to a “Subsidiary” or to “Subsidiaries” shall refer to a Subsidiary or Subsidiaries of the Borrower. Notwithstanding anything contained to the contrary in this Agreement or any other Loan Document, Affiliated Practices shall not be deemed to constitute a Subsidiary of the Borrower, any other Loan Party or any Subsidiary thereof.</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 Guarantor</w:t>
      </w:r>
      <w:r>
        <w:rPr>
          <w:rFonts w:ascii="Times New Roman" w:cs="Times New Roman" w:eastAsia="Times New Roman" w:hAnsi="Times New Roman"/>
          <w:sz w:val="20"/>
          <w:szCs w:val="20"/>
          <w:color w:val="auto"/>
        </w:rPr>
        <w:t>” means any Guarantor other than Holdings.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5" w:name="page196"/>
    <w:bookmarkEnd w:id="195"/>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7.03(4)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Holdings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7.03(5)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Supplemental Administrative Agent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Supplemental Administrative Agents</w:t>
      </w:r>
      <w:r>
        <w:rPr>
          <w:rFonts w:ascii="Times New Roman" w:cs="Times New Roman" w:eastAsia="Times New Roman" w:hAnsi="Times New Roman"/>
          <w:sz w:val="20"/>
          <w:szCs w:val="20"/>
          <w:color w:val="auto"/>
        </w:rPr>
        <w:t>” have the meanings specified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9.14(1)</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right="2080"/>
        <w:spacing w:after="0" w:line="48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Swap Obligation</w:t>
      </w:r>
      <w:r>
        <w:rPr>
          <w:rFonts w:ascii="Times New Roman" w:cs="Times New Roman" w:eastAsia="Times New Roman" w:hAnsi="Times New Roman"/>
          <w:sz w:val="19"/>
          <w:szCs w:val="19"/>
          <w:color w:val="auto"/>
        </w:rPr>
        <w:t>” has the meaning specified in the definition of “Excluded Swap Obligation.” “</w:t>
      </w:r>
      <w:r>
        <w:rPr>
          <w:rFonts w:ascii="Times New Roman" w:cs="Times New Roman" w:eastAsia="Times New Roman" w:hAnsi="Times New Roman"/>
          <w:sz w:val="19"/>
          <w:szCs w:val="19"/>
          <w:b w:val="1"/>
          <w:bCs w:val="1"/>
          <w:color w:val="auto"/>
        </w:rPr>
        <w:t>Swing Line Borrowing</w:t>
      </w:r>
      <w:r>
        <w:rPr>
          <w:rFonts w:ascii="Times New Roman" w:cs="Times New Roman" w:eastAsia="Times New Roman" w:hAnsi="Times New Roman"/>
          <w:sz w:val="19"/>
          <w:szCs w:val="19"/>
          <w:color w:val="auto"/>
        </w:rPr>
        <w:t xml:space="preserve">” means a borrowing of a Swing Line Loan pursuant to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Facility</w:t>
      </w:r>
      <w:r>
        <w:rPr>
          <w:rFonts w:ascii="Times New Roman" w:cs="Times New Roman" w:eastAsia="Times New Roman" w:hAnsi="Times New Roman"/>
          <w:sz w:val="20"/>
          <w:szCs w:val="20"/>
          <w:color w:val="auto"/>
        </w:rPr>
        <w:t xml:space="preserve">” means the swing line facility made available by the Swing Line Lender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Lender</w:t>
      </w:r>
      <w:r>
        <w:rPr>
          <w:rFonts w:ascii="Times New Roman" w:cs="Times New Roman" w:eastAsia="Times New Roman" w:hAnsi="Times New Roman"/>
          <w:sz w:val="20"/>
          <w:szCs w:val="20"/>
          <w:color w:val="auto"/>
        </w:rPr>
        <w:t xml:space="preserve">” means Capital One and/or (as the context requires) any other Lender that becomes a Swing Line Lender in accordance with </w:t>
      </w:r>
      <w:r>
        <w:rPr>
          <w:rFonts w:ascii="Times New Roman" w:cs="Times New Roman" w:eastAsia="Times New Roman" w:hAnsi="Times New Roman"/>
          <w:sz w:val="20"/>
          <w:szCs w:val="20"/>
          <w:u w:val="single" w:color="auto"/>
          <w:color w:val="auto"/>
        </w:rPr>
        <w:t>Section 2.04(8)</w:t>
      </w:r>
      <w:r>
        <w:rPr>
          <w:rFonts w:ascii="Times New Roman" w:cs="Times New Roman" w:eastAsia="Times New Roman" w:hAnsi="Times New Roman"/>
          <w:sz w:val="20"/>
          <w:szCs w:val="20"/>
          <w:color w:val="auto"/>
        </w:rPr>
        <w:t>, or any successor Swing Line Lender hereunder.</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16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Loan Notice</w:t>
      </w:r>
      <w:r>
        <w:rPr>
          <w:rFonts w:ascii="Times New Roman" w:cs="Times New Roman" w:eastAsia="Times New Roman" w:hAnsi="Times New Roman"/>
          <w:sz w:val="20"/>
          <w:szCs w:val="20"/>
          <w:color w:val="auto"/>
        </w:rPr>
        <w:t xml:space="preserve">” means a notice of a Swing Line Borrowing pursuant to </w:t>
      </w:r>
      <w:r>
        <w:rPr>
          <w:rFonts w:ascii="Times New Roman" w:cs="Times New Roman" w:eastAsia="Times New Roman" w:hAnsi="Times New Roman"/>
          <w:sz w:val="20"/>
          <w:szCs w:val="20"/>
          <w:u w:val="single" w:color="auto"/>
          <w:color w:val="auto"/>
        </w:rPr>
        <w:t>Section 2.04(2)</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or such other form as approved by the Administrative Agent and the Borrower (including any form on an electronic platform or electronic transmission system as shall be approved by the Administrative Agent and the Borrower), appropriately completed and signed by a Responsible Officer of the Borrower.</w:t>
      </w:r>
    </w:p>
    <w:p>
      <w:pPr>
        <w:spacing w:after="0" w:line="176" w:lineRule="exact"/>
        <w:rPr>
          <w:sz w:val="20"/>
          <w:szCs w:val="20"/>
          <w:color w:val="auto"/>
        </w:rPr>
      </w:pPr>
    </w:p>
    <w:p>
      <w:pPr>
        <w:jc w:val="both"/>
        <w:ind w:right="6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Note</w:t>
      </w:r>
      <w:r>
        <w:rPr>
          <w:rFonts w:ascii="Times New Roman" w:cs="Times New Roman" w:eastAsia="Times New Roman" w:hAnsi="Times New Roman"/>
          <w:sz w:val="20"/>
          <w:szCs w:val="20"/>
          <w:color w:val="auto"/>
        </w:rPr>
        <w:t xml:space="preserve">” means a promissory note of the Borrower payable to any Swing Line Lender or its registered assigns, in substantially the form of </w:t>
      </w:r>
      <w:r>
        <w:rPr>
          <w:rFonts w:ascii="Times New Roman" w:cs="Times New Roman" w:eastAsia="Times New Roman" w:hAnsi="Times New Roman"/>
          <w:sz w:val="20"/>
          <w:szCs w:val="20"/>
          <w:u w:val="single" w:color="auto"/>
          <w:color w:val="auto"/>
        </w:rPr>
        <w:t>Exhibit B-3</w:t>
      </w:r>
      <w:r>
        <w:rPr>
          <w:rFonts w:ascii="Times New Roman" w:cs="Times New Roman" w:eastAsia="Times New Roman" w:hAnsi="Times New Roman"/>
          <w:sz w:val="20"/>
          <w:szCs w:val="20"/>
          <w:color w:val="auto"/>
        </w:rPr>
        <w:t>, evidencing the aggregate Indebtedness of the Borrower to the Swing Line Lender resulting from the Swing Line Loans.</w:t>
      </w:r>
    </w:p>
    <w:p>
      <w:pPr>
        <w:spacing w:after="0" w:line="169" w:lineRule="exact"/>
        <w:rPr>
          <w:sz w:val="20"/>
          <w:szCs w:val="20"/>
          <w:color w:val="auto"/>
        </w:rPr>
      </w:pPr>
    </w:p>
    <w:p>
      <w:pPr>
        <w:ind w:right="1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Obligations</w:t>
      </w:r>
      <w:r>
        <w:rPr>
          <w:rFonts w:ascii="Times New Roman" w:cs="Times New Roman" w:eastAsia="Times New Roman" w:hAnsi="Times New Roman"/>
          <w:sz w:val="20"/>
          <w:szCs w:val="20"/>
          <w:color w:val="auto"/>
        </w:rPr>
        <w:t>” means, as at any date of determination, the aggregate Outstanding Amount of all Swing Line Loans outstanding.</w:t>
      </w:r>
    </w:p>
    <w:p>
      <w:pPr>
        <w:spacing w:after="0" w:line="152" w:lineRule="exact"/>
        <w:rPr>
          <w:sz w:val="20"/>
          <w:szCs w:val="20"/>
          <w:color w:val="auto"/>
        </w:rPr>
      </w:pPr>
    </w:p>
    <w:p>
      <w:pPr>
        <w:ind w:right="14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Sublimit</w:t>
      </w:r>
      <w:r>
        <w:rPr>
          <w:rFonts w:ascii="Times New Roman" w:cs="Times New Roman" w:eastAsia="Times New Roman" w:hAnsi="Times New Roman"/>
          <w:sz w:val="20"/>
          <w:szCs w:val="20"/>
          <w:color w:val="auto"/>
        </w:rPr>
        <w:t>” means an amount equal to the lesser of (1) $15,000,000, as adjusted from time to time in accordance with ‎Section 2.14 and (2) the aggregate amount of the Revolving Commitments. The Swing Line Sublimit is part of, and not in addition to, the Revolving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-184150</wp:posOffset>
            </wp:positionV>
            <wp:extent cx="6280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49"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any present or future tax, levy, impost, duty, assessment, charge, fee, deduction or withholding (including backup withholding) of any nature and whatever called, imposed by any Governmental Authority, including any interest, additions to tax and penalties applicable thereto.</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Group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7.05(2)(n)(ii)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Benchmark</w:t>
      </w:r>
      <w:r>
        <w:rPr>
          <w:rFonts w:ascii="Times New Roman" w:cs="Times New Roman" w:eastAsia="Times New Roman" w:hAnsi="Times New Roman"/>
          <w:sz w:val="20"/>
          <w:szCs w:val="20"/>
          <w:color w:val="auto"/>
        </w:rPr>
        <w:t>” means the Benchmark.</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96" w:name="page197"/>
    <w:bookmarkEnd w:id="196"/>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Benchmark Rate</w:t>
      </w:r>
      <w:r>
        <w:rPr>
          <w:rFonts w:ascii="Times New Roman" w:cs="Times New Roman" w:eastAsia="Times New Roman" w:hAnsi="Times New Roman"/>
          <w:sz w:val="20"/>
          <w:szCs w:val="20"/>
          <w:color w:val="auto"/>
        </w:rPr>
        <w:t>” means the Term SOFR Rate.</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Benchmark Rate Loan</w:t>
      </w:r>
      <w:r>
        <w:rPr>
          <w:rFonts w:ascii="Times New Roman" w:cs="Times New Roman" w:eastAsia="Times New Roman" w:hAnsi="Times New Roman"/>
          <w:sz w:val="20"/>
          <w:szCs w:val="20"/>
          <w:color w:val="auto"/>
        </w:rPr>
        <w:t>” refers to a Loan (or Borrowing) bearing interest at a rate determined by reference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SOFR Rate.</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Borrowing</w:t>
      </w:r>
      <w:r>
        <w:rPr>
          <w:rFonts w:ascii="Times New Roman" w:cs="Times New Roman" w:eastAsia="Times New Roman" w:hAnsi="Times New Roman"/>
          <w:sz w:val="20"/>
          <w:szCs w:val="20"/>
          <w:color w:val="auto"/>
        </w:rPr>
        <w:t>” means a Borrowing of any Term Loans.</w:t>
      </w:r>
    </w:p>
    <w:p>
      <w:pPr>
        <w:spacing w:after="0" w:line="216" w:lineRule="exact"/>
        <w:rPr>
          <w:sz w:val="20"/>
          <w:szCs w:val="20"/>
          <w:color w:val="auto"/>
        </w:rPr>
      </w:pPr>
    </w:p>
    <w:p>
      <w:pPr>
        <w:ind w:right="60" w:firstLine="149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Commitment</w:t>
      </w:r>
      <w:r>
        <w:rPr>
          <w:rFonts w:ascii="Times New Roman" w:cs="Times New Roman" w:eastAsia="Times New Roman" w:hAnsi="Times New Roman"/>
          <w:sz w:val="20"/>
          <w:szCs w:val="20"/>
          <w:color w:val="auto"/>
        </w:rPr>
        <w:t xml:space="preserve">” means, as to each Term Lender, its obligation to make a Term Loan to the Borrower hereunder, expressed as an amount representing the maximum principal amount of the Term Loan to be made by such Term Lender under this Agreement, as such commitment may be (1) reduced from time to time pursuant to this Agreement and (2) reduced or increased from time to time pursuant to (a) assignments by or to such Term Lender pursuant to an Assignment and Assumption, (b) an Incremental Amendment, (c) a Refinancing Amendment, (d) an Extension Amendment or (e) an amendment in respect of Replacement Loans. The initial amount of each Term Lender’s Term Commitment is specified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“Closing Date Term Loan Commitment” or, otherwise, in the Assignment and Assumption (or Affiliated Lender Assignment and Assumption), Incremental Amendment, Refinancing Amendment, Extension Amendment or amendment in respect of Replacement Loans pursuant to which such Lender shall have assumed its Commitment, as the case may be.</w:t>
      </w:r>
    </w:p>
    <w:p>
      <w:pPr>
        <w:spacing w:after="0" w:line="186"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Facility</w:t>
      </w:r>
      <w:r>
        <w:rPr>
          <w:rFonts w:ascii="Times New Roman" w:cs="Times New Roman" w:eastAsia="Times New Roman" w:hAnsi="Times New Roman"/>
          <w:sz w:val="20"/>
          <w:szCs w:val="20"/>
          <w:color w:val="auto"/>
        </w:rPr>
        <w:t>” means any Facility consisting of Term Loans of a single Class and/or Term Commitments with respect to such Class of Term Loans.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Lender</w:t>
      </w:r>
      <w:r>
        <w:rPr>
          <w:rFonts w:ascii="Times New Roman" w:cs="Times New Roman" w:eastAsia="Times New Roman" w:hAnsi="Times New Roman"/>
          <w:sz w:val="20"/>
          <w:szCs w:val="20"/>
          <w:color w:val="auto"/>
        </w:rPr>
        <w:t>” means, at any time, any Lender that has a Term Commitment or a Term Loan at such time.</w:t>
      </w:r>
    </w:p>
    <w:p>
      <w:pPr>
        <w:spacing w:after="0" w:line="216" w:lineRule="exact"/>
        <w:rPr>
          <w:sz w:val="20"/>
          <w:szCs w:val="20"/>
          <w:color w:val="auto"/>
        </w:rPr>
      </w:pPr>
    </w:p>
    <w:p>
      <w:pPr>
        <w:ind w:right="22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means any Closing Date Term Loan, Incremental Term Loan, Other Term Loan, Extended Term Loan or Replacement Loan, as the context may require.</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Extension Request</w:t>
      </w:r>
      <w:r>
        <w:rPr>
          <w:rFonts w:ascii="Times New Roman" w:cs="Times New Roman" w:eastAsia="Times New Roman" w:hAnsi="Times New Roman"/>
          <w:sz w:val="20"/>
          <w:szCs w:val="20"/>
          <w:color w:val="auto"/>
        </w:rPr>
        <w:t xml:space="preserve">” has the meaning provided in </w:t>
      </w:r>
      <w:r>
        <w:rPr>
          <w:rFonts w:ascii="Times New Roman" w:cs="Times New Roman" w:eastAsia="Times New Roman" w:hAnsi="Times New Roman"/>
          <w:sz w:val="20"/>
          <w:szCs w:val="20"/>
          <w:u w:val="single" w:color="auto"/>
          <w:color w:val="auto"/>
        </w:rPr>
        <w:t>Section 2.16(1)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Extension Series</w:t>
      </w:r>
      <w:r>
        <w:rPr>
          <w:rFonts w:ascii="Times New Roman" w:cs="Times New Roman" w:eastAsia="Times New Roman" w:hAnsi="Times New Roman"/>
          <w:sz w:val="20"/>
          <w:szCs w:val="20"/>
          <w:color w:val="auto"/>
        </w:rPr>
        <w:t xml:space="preserve">” has the meaning provided in </w:t>
      </w:r>
      <w:r>
        <w:rPr>
          <w:rFonts w:ascii="Times New Roman" w:cs="Times New Roman" w:eastAsia="Times New Roman" w:hAnsi="Times New Roman"/>
          <w:sz w:val="20"/>
          <w:szCs w:val="20"/>
          <w:u w:val="single" w:color="auto"/>
          <w:color w:val="auto"/>
        </w:rPr>
        <w:t>Section 2.16(1)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Increase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Note</w:t>
      </w:r>
      <w:r>
        <w:rPr>
          <w:rFonts w:ascii="Times New Roman" w:cs="Times New Roman" w:eastAsia="Times New Roman" w:hAnsi="Times New Roman"/>
          <w:sz w:val="20"/>
          <w:szCs w:val="20"/>
          <w:color w:val="auto"/>
        </w:rPr>
        <w:t xml:space="preserve">” means a promissory note of the Borrower payable to any Term Lender or its registered assigns, in substantially the form of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hereto, evidencing the aggregate Indebtedness of the Borrower to such Term Lender resulting from the Term Loans made by such Term Lender.</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right="60" w:firstLine="1505"/>
        <w:spacing w:after="0" w:line="244" w:lineRule="auto"/>
        <w:tabs>
          <w:tab w:leader="none" w:pos="18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Term Benchmark Rate Loan, the Term SOFR Reference Rate for a tenor comparable to the applicable Interest Period on the day (such day, the “</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7" w:name="page198"/>
    <w:bookmarkEnd w:id="197"/>
    <w:p>
      <w:pPr>
        <w:ind w:right="80"/>
        <w:spacing w:after="0" w:line="254" w:lineRule="auto"/>
        <w:rPr>
          <w:sz w:val="20"/>
          <w:szCs w:val="20"/>
          <w:color w:val="auto"/>
        </w:rPr>
      </w:pPr>
      <w:r>
        <w:rPr>
          <w:rFonts w:ascii="Times New Roman" w:cs="Times New Roman" w:eastAsia="Times New Roman" w:hAnsi="Times New Roman"/>
          <w:sz w:val="20"/>
          <w:szCs w:val="20"/>
          <w:color w:val="auto"/>
        </w:rPr>
        <w:t>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4" w:lineRule="exact"/>
        <w:rPr>
          <w:sz w:val="20"/>
          <w:szCs w:val="20"/>
          <w:color w:val="auto"/>
        </w:rPr>
      </w:pPr>
    </w:p>
    <w:p>
      <w:pPr>
        <w:ind w:firstLine="1505"/>
        <w:spacing w:after="0" w:line="243" w:lineRule="auto"/>
        <w:tabs>
          <w:tab w:leader="none" w:pos="189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an Base Rate Loan on any day, the Term SOFR Reference Rate for a tenor of one month on the day (such day, the “</w:t>
      </w:r>
      <w:r>
        <w:rPr>
          <w:rFonts w:ascii="Times New Roman" w:cs="Times New Roman" w:eastAsia="Times New Roman" w:hAnsi="Times New Roman"/>
          <w:sz w:val="20"/>
          <w:szCs w:val="20"/>
          <w:b w:val="1"/>
          <w:bCs w:val="1"/>
          <w:color w:val="auto"/>
        </w:rPr>
        <w:t>ABR Term SOFR Determination Day</w:t>
      </w:r>
      <w:r>
        <w:rPr>
          <w:rFonts w:ascii="Times New Roman" w:cs="Times New Roman" w:eastAsia="Times New Roman" w:hAnsi="Times New Roman"/>
          <w:sz w:val="20"/>
          <w:szCs w:val="20"/>
          <w:color w:val="auto"/>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182" w:lineRule="exact"/>
        <w:rPr>
          <w:sz w:val="20"/>
          <w:szCs w:val="20"/>
          <w:color w:val="auto"/>
        </w:rPr>
      </w:pPr>
    </w:p>
    <w:p>
      <w:pPr>
        <w:ind w:right="9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ind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Rate</w:t>
      </w:r>
      <w:r>
        <w:rPr>
          <w:rFonts w:ascii="Times New Roman" w:cs="Times New Roman" w:eastAsia="Times New Roman" w:hAnsi="Times New Roman"/>
          <w:sz w:val="20"/>
          <w:szCs w:val="20"/>
          <w:color w:val="auto"/>
        </w:rPr>
        <w:t xml:space="preserve">” means, for purposes of any calculation, the rate per annum equal to Term SOFR for such calculation;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the Term SOFR Rate as so determined shall ever be less than the Floor, then Term SOFR Rate shall be deemed to be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Floor.</w:t>
      </w:r>
    </w:p>
    <w:p>
      <w:pPr>
        <w:spacing w:after="0" w:line="169" w:lineRule="exact"/>
        <w:rPr>
          <w:sz w:val="20"/>
          <w:szCs w:val="20"/>
          <w:color w:val="auto"/>
        </w:rPr>
      </w:pPr>
    </w:p>
    <w:p>
      <w:pPr>
        <w:ind w:right="100" w:firstLine="149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Conditions</w:t>
      </w:r>
      <w:r>
        <w:rPr>
          <w:rFonts w:ascii="Times New Roman" w:cs="Times New Roman" w:eastAsia="Times New Roman" w:hAnsi="Times New Roman"/>
          <w:sz w:val="20"/>
          <w:szCs w:val="20"/>
          <w:color w:val="auto"/>
        </w:rPr>
        <w:t>” means, collectively, (1) the payment in full in cash of the Obligations (other than (a) contingent indemnification obligations not then due and (b) Obligations under Secured Hedge Agreements and Secured Cash Management Agreements), if any, and (2) the termination of the Commitments and the termination or expiration of all Letters of Credit under this Agreement (unless the Outstanding Amount of the L/C Obligations related thereto has been Cash Collateralized on terms reasonably acceptable to the applicable Issuing Bank, backstopped by a letter of credit reasonably satisfactory to the applicable Issuing Bank or deemed reissued under another agreement reasonably acceptable to the applicable Issuing Bank), if any.</w:t>
      </w:r>
    </w:p>
    <w:p>
      <w:pPr>
        <w:spacing w:after="0" w:line="179"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xml:space="preserve">” in effect at any time means (1) for purposes of (a) the definition of “Applicable Rate,” (b) </w:t>
      </w:r>
      <w:r>
        <w:rPr>
          <w:rFonts w:ascii="Times New Roman" w:cs="Times New Roman" w:eastAsia="Times New Roman" w:hAnsi="Times New Roman"/>
          <w:sz w:val="20"/>
          <w:szCs w:val="20"/>
          <w:u w:val="single" w:color="auto"/>
          <w:color w:val="auto"/>
        </w:rPr>
        <w:t>Section 2.05(2)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(c) either Financial Covenant (other than for the purpose of determining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compliance with any Financial Covenant in connection with any Basket), the most recent period of four consecutive fiscal quarters of the Borrower ended on or prior to such time (taken as one accounting period) in respect of which, subject to </w:t>
      </w:r>
      <w:r>
        <w:rPr>
          <w:rFonts w:ascii="Times New Roman" w:cs="Times New Roman" w:eastAsia="Times New Roman" w:hAnsi="Times New Roman"/>
          <w:sz w:val="20"/>
          <w:szCs w:val="20"/>
          <w:u w:val="single" w:color="auto"/>
          <w:color w:val="auto"/>
        </w:rPr>
        <w:t>Section 1.07(1)</w:t>
      </w:r>
      <w:r>
        <w:rPr>
          <w:rFonts w:ascii="Times New Roman" w:cs="Times New Roman" w:eastAsia="Times New Roman" w:hAnsi="Times New Roman"/>
          <w:sz w:val="20"/>
          <w:szCs w:val="20"/>
          <w:color w:val="auto"/>
        </w:rPr>
        <w:t xml:space="preserve">, financial statements for each quarter or fiscal year in such period have been or are required to be delivered pursuant to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as applicable and (2) for all other purposes in this Agreement, the most recent period of four consecutive fiscal quarters of the Borrower ended on or prior to such time (taken as one accounting period) in respect of which financial statements for each such quarter or fiscal year in such period have been or are required to be delivered pursuant to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as applicable (or, at the election of the Borrower, are internally available (as determined in good faith by the Borrower) and have been delivered to the Administrative Agent), (it being understood that for purposes of determining pro forma compliance with any Financial Covenant in connection with any Basket, if no Test Period with an applicable level cited in such Financial Covenant has passed, the applicable level shall be the level for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8" w:name="page199"/>
    <w:bookmarkEnd w:id="198"/>
    <w:p>
      <w:pPr>
        <w:ind w:right="120"/>
        <w:spacing w:after="0" w:line="256" w:lineRule="auto"/>
        <w:rPr>
          <w:sz w:val="20"/>
          <w:szCs w:val="20"/>
          <w:color w:val="auto"/>
        </w:rPr>
      </w:pPr>
      <w:r>
        <w:rPr>
          <w:rFonts w:ascii="Times New Roman" w:cs="Times New Roman" w:eastAsia="Times New Roman" w:hAnsi="Times New Roman"/>
          <w:sz w:val="20"/>
          <w:szCs w:val="20"/>
          <w:color w:val="auto"/>
        </w:rPr>
        <w:t xml:space="preserve">first Test Period cited in such Financial Covenant with an indicated level);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prior to the first date that financial statements have been or are required to be delivered pursuant to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the Test Period in effect shall be the period of four consecutive full fiscal quarters of the Borrower ended on or about September 30, 2024.</w:t>
      </w:r>
    </w:p>
    <w:p>
      <w:pPr>
        <w:spacing w:after="0" w:line="169" w:lineRule="exact"/>
        <w:rPr>
          <w:sz w:val="20"/>
          <w:szCs w:val="20"/>
          <w:color w:val="auto"/>
        </w:rPr>
      </w:pPr>
    </w:p>
    <w:p>
      <w:pPr>
        <w:ind w:right="10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Payor</w:t>
      </w:r>
      <w:r>
        <w:rPr>
          <w:rFonts w:ascii="Times New Roman" w:cs="Times New Roman" w:eastAsia="Times New Roman" w:hAnsi="Times New Roman"/>
          <w:sz w:val="20"/>
          <w:szCs w:val="20"/>
          <w:color w:val="auto"/>
        </w:rPr>
        <w:t>” means Medicare and Medicaid programs, any other federal health care program, Blue Cross and/or Blue Shield, private insurers, managed care plans, and any other person or entity which presently or in the future maintains a payment or reimbursement programs in which any Loan Party or any Restricted Subsidiary of a Loan Party participates.</w:t>
      </w:r>
    </w:p>
    <w:p>
      <w:pPr>
        <w:spacing w:after="0" w:line="169" w:lineRule="exact"/>
        <w:rPr>
          <w:sz w:val="20"/>
          <w:szCs w:val="20"/>
          <w:color w:val="auto"/>
        </w:rPr>
      </w:pPr>
    </w:p>
    <w:p>
      <w:pPr>
        <w:jc w:val="both"/>
        <w:ind w:right="2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Payor Authorizations</w:t>
      </w:r>
      <w:r>
        <w:rPr>
          <w:rFonts w:ascii="Times New Roman" w:cs="Times New Roman" w:eastAsia="Times New Roman" w:hAnsi="Times New Roman"/>
          <w:sz w:val="20"/>
          <w:szCs w:val="20"/>
          <w:color w:val="auto"/>
        </w:rPr>
        <w:t>” means all participation agreements, provider or supplier agreements, enrollments and billing numbers necessary to participate in and receive reimbursement from a Third Party Payor Program, including the Medicare and Medicaid Programs.</w:t>
      </w:r>
    </w:p>
    <w:p>
      <w:pPr>
        <w:spacing w:after="0" w:line="169" w:lineRule="exact"/>
        <w:rPr>
          <w:sz w:val="20"/>
          <w:szCs w:val="20"/>
          <w:color w:val="auto"/>
        </w:rPr>
      </w:pPr>
    </w:p>
    <w:p>
      <w:pPr>
        <w:jc w:val="both"/>
        <w:ind w:right="20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Payor Programs</w:t>
      </w:r>
      <w:r>
        <w:rPr>
          <w:rFonts w:ascii="Times New Roman" w:cs="Times New Roman" w:eastAsia="Times New Roman" w:hAnsi="Times New Roman"/>
          <w:sz w:val="20"/>
          <w:szCs w:val="20"/>
          <w:color w:val="auto"/>
        </w:rPr>
        <w:t>” means all payment or reimbursement programs, sponsored or maintained by any Third Party Payor, in which any Loan Party or any Restricted Subsidiary or a Loan Party participates.</w:t>
      </w:r>
    </w:p>
    <w:p>
      <w:pPr>
        <w:spacing w:after="0" w:line="152" w:lineRule="exact"/>
        <w:rPr>
          <w:sz w:val="20"/>
          <w:szCs w:val="20"/>
          <w:color w:val="auto"/>
        </w:rPr>
      </w:pPr>
    </w:p>
    <w:p>
      <w:pPr>
        <w:ind w:right="2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Threshold Amount</w:t>
      </w:r>
      <w:r>
        <w:rPr>
          <w:rFonts w:ascii="Times New Roman" w:cs="Times New Roman" w:eastAsia="Times New Roman" w:hAnsi="Times New Roman"/>
          <w:sz w:val="20"/>
          <w:szCs w:val="20"/>
          <w:color w:val="auto"/>
        </w:rPr>
        <w:t>” means the greater of (1) $21,500,000 and (2) 20% of Consolidated EBITDA of the Borrower for the most recently ended Test Period (calculated on a pro forma basis).</w:t>
      </w:r>
    </w:p>
    <w:p>
      <w:pPr>
        <w:spacing w:after="0" w:line="152" w:lineRule="exact"/>
        <w:rPr>
          <w:sz w:val="20"/>
          <w:szCs w:val="20"/>
          <w:color w:val="auto"/>
        </w:rPr>
      </w:pPr>
    </w:p>
    <w:p>
      <w:pPr>
        <w:ind w:right="16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Assets</w:t>
      </w:r>
      <w:r>
        <w:rPr>
          <w:rFonts w:ascii="Times New Roman" w:cs="Times New Roman" w:eastAsia="Times New Roman" w:hAnsi="Times New Roman"/>
          <w:sz w:val="20"/>
          <w:szCs w:val="20"/>
          <w:color w:val="auto"/>
        </w:rPr>
        <w:t xml:space="preserve">” means, at any time, the total assets of the Borrower and the Restricted Subsidiaries, determined on a consolidated basis in accordance with GAAP, as shown on the then most recent balance sheet of the Borrower or such other Person as may be available (as determined in good faith by the Borrower) (and, in the case of any determination relating to any Specified Transaction, on a </w:t>
      </w:r>
      <w:r>
        <w:rPr>
          <w:rFonts w:ascii="Times New Roman" w:cs="Times New Roman" w:eastAsia="Times New Roman" w:hAnsi="Times New Roman"/>
          <w:sz w:val="20"/>
          <w:szCs w:val="20"/>
          <w:i w:val="1"/>
          <w:iCs w:val="1"/>
          <w:color w:val="auto"/>
        </w:rPr>
        <w:t xml:space="preserve">pro forma </w:t>
      </w:r>
      <w:r>
        <w:rPr>
          <w:rFonts w:ascii="Times New Roman" w:cs="Times New Roman" w:eastAsia="Times New Roman" w:hAnsi="Times New Roman"/>
          <w:sz w:val="20"/>
          <w:szCs w:val="20"/>
          <w:color w:val="auto"/>
        </w:rPr>
        <w:t>basis including any property or assets being acquired in connection therewith).</w:t>
      </w:r>
    </w:p>
    <w:p>
      <w:pPr>
        <w:spacing w:after="0" w:line="176" w:lineRule="exact"/>
        <w:rPr>
          <w:sz w:val="20"/>
          <w:szCs w:val="20"/>
          <w:color w:val="auto"/>
        </w:rPr>
      </w:pPr>
    </w:p>
    <w:p>
      <w:pPr>
        <w:jc w:val="both"/>
        <w:ind w:right="20" w:firstLine="1497"/>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 Net Leverage Ratio</w:t>
      </w:r>
      <w:r>
        <w:rPr>
          <w:rFonts w:ascii="Times New Roman" w:cs="Times New Roman" w:eastAsia="Times New Roman" w:hAnsi="Times New Roman"/>
          <w:sz w:val="19"/>
          <w:szCs w:val="19"/>
          <w:color w:val="auto"/>
        </w:rPr>
        <w:t xml:space="preserve">” means, with respect to any Test Period, the ratio of (1) Consolidated Total Debt outstanding as of the last day of such Test Period,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Unrestricted Cash Amount on such last day to (2) Consolidated EBITDA of the Borrower for such Test Period, in each case on a pro forma basis with such pro forma adjustments as are appropriate and consistent with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Net Leverage Ratio Financial Covenant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Outstandings</w:t>
      </w:r>
      <w:r>
        <w:rPr>
          <w:rFonts w:ascii="Times New Roman" w:cs="Times New Roman" w:eastAsia="Times New Roman" w:hAnsi="Times New Roman"/>
          <w:sz w:val="20"/>
          <w:szCs w:val="20"/>
          <w:color w:val="auto"/>
        </w:rPr>
        <w:t>” means the aggregate Outstanding Amount of all Loans and L/C Obligations.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Traded Securities</w:t>
      </w:r>
      <w:r>
        <w:rPr>
          <w:rFonts w:ascii="Times New Roman" w:cs="Times New Roman" w:eastAsia="Times New Roman" w:hAnsi="Times New Roman"/>
          <w:sz w:val="20"/>
          <w:szCs w:val="20"/>
          <w:color w:val="auto"/>
        </w:rPr>
        <w:t>” means any debt or equity securities issued pursuant to a public offering or Rule 144A offering.</w:t>
      </w:r>
    </w:p>
    <w:p>
      <w:pPr>
        <w:spacing w:after="0" w:line="216"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Expenses</w:t>
      </w:r>
      <w:r>
        <w:rPr>
          <w:rFonts w:ascii="Times New Roman" w:cs="Times New Roman" w:eastAsia="Times New Roman" w:hAnsi="Times New Roman"/>
          <w:sz w:val="20"/>
          <w:szCs w:val="20"/>
          <w:color w:val="auto"/>
        </w:rPr>
        <w:t>” means any fees, expenses, costs or charges incurred or paid by the Investor, the Co-Investor, any Parent Company, Holdings, the Borrower or any Restricted Subsidiary in connection with the Transactions, including any expenses in connection with hedging transactions, payments to officers, employees and directors as change of control payments, severance payments, special or retention bonuses, charges for repurchase or rollover of, or modifications to, stock options or restricted stock, professional fees and transfer taxes.</w:t>
      </w:r>
    </w:p>
    <w:p>
      <w:pPr>
        <w:spacing w:after="0" w:line="180" w:lineRule="exact"/>
        <w:rPr>
          <w:sz w:val="20"/>
          <w:szCs w:val="20"/>
          <w:color w:val="auto"/>
        </w:rPr>
      </w:pPr>
    </w:p>
    <w:p>
      <w:pPr>
        <w:ind w:right="680" w:firstLine="149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means, collectively, the funding of the Closing Date Loans, the Closing Date Refinancing and the payment of Transaction Expenses.</w:t>
      </w: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Capital Stock</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7.05(2)(b)(i)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9" w:name="page200"/>
    <w:bookmarkEnd w:id="199"/>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Type</w:t>
      </w:r>
      <w:r>
        <w:rPr>
          <w:rFonts w:ascii="Times New Roman" w:cs="Times New Roman" w:eastAsia="Times New Roman" w:hAnsi="Times New Roman"/>
          <w:sz w:val="20"/>
          <w:szCs w:val="20"/>
          <w:color w:val="auto"/>
        </w:rPr>
        <w:t>” means, with respect to a Loan, its character as a Base Rate Loan or a Term Benchmark Rate Loan.</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Lender</w:t>
      </w:r>
      <w:r>
        <w:rPr>
          <w:rFonts w:ascii="Times New Roman" w:cs="Times New Roman" w:eastAsia="Times New Roman" w:hAnsi="Times New Roman"/>
          <w:sz w:val="20"/>
          <w:szCs w:val="20"/>
          <w:color w:val="auto"/>
        </w:rPr>
        <w:t>” means any Lender that is not a Foreign Lender.</w:t>
      </w:r>
    </w:p>
    <w:p>
      <w:pPr>
        <w:spacing w:after="0" w:line="216" w:lineRule="exact"/>
        <w:rPr>
          <w:sz w:val="20"/>
          <w:szCs w:val="20"/>
          <w:color w:val="auto"/>
        </w:rPr>
      </w:pPr>
    </w:p>
    <w:p>
      <w:pPr>
        <w:ind w:right="2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2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1100" w:firstLine="1497"/>
        <w:spacing w:after="0" w:line="273" w:lineRule="auto"/>
        <w:rPr>
          <w:sz w:val="20"/>
          <w:szCs w:val="20"/>
          <w:color w:val="auto"/>
        </w:rPr>
      </w:pPr>
      <w:r>
        <w:rPr>
          <w:rFonts w:ascii="Times New Roman" w:cs="Times New Roman" w:eastAsia="Times New Roman" w:hAnsi="Times New Roman"/>
          <w:sz w:val="20"/>
          <w:szCs w:val="20"/>
          <w:b w:val="1"/>
          <w:b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responsibility for the resolution of any UK Financial Institution.</w:t>
      </w:r>
    </w:p>
    <w:p>
      <w:pPr>
        <w:spacing w:after="0" w:line="152" w:lineRule="exact"/>
        <w:rPr>
          <w:sz w:val="20"/>
          <w:szCs w:val="20"/>
          <w:color w:val="auto"/>
        </w:rPr>
      </w:pPr>
    </w:p>
    <w:p>
      <w:pPr>
        <w:ind w:right="4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the perfection or priority of any Lien on or otherwise with regard to any item or items of Collateral.</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 Tax Compliance Certificate</w:t>
      </w:r>
      <w:r>
        <w:rPr>
          <w:rFonts w:ascii="Times New Roman" w:cs="Times New Roman" w:eastAsia="Times New Roman" w:hAnsi="Times New Roman"/>
          <w:sz w:val="19"/>
          <w:szCs w:val="19"/>
          <w:color w:val="auto"/>
        </w:rPr>
        <w:t xml:space="preserve">” means a certificate substantially in the form of </w:t>
      </w:r>
      <w:r>
        <w:rPr>
          <w:rFonts w:ascii="Times New Roman" w:cs="Times New Roman" w:eastAsia="Times New Roman" w:hAnsi="Times New Roman"/>
          <w:sz w:val="19"/>
          <w:szCs w:val="19"/>
          <w:u w:val="single" w:color="auto"/>
          <w:color w:val="auto"/>
        </w:rPr>
        <w:t>Exhibit H-1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as applicable.</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60" w:firstLine="149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Cash Amount</w:t>
      </w:r>
      <w:r>
        <w:rPr>
          <w:rFonts w:ascii="Times New Roman" w:cs="Times New Roman" w:eastAsia="Times New Roman" w:hAnsi="Times New Roman"/>
          <w:sz w:val="20"/>
          <w:szCs w:val="20"/>
          <w:color w:val="auto"/>
        </w:rPr>
        <w:t xml:space="preserve">” means, on any date of determination, the aggregate amount of cash and Cash Equivalents of the Borrower and the Restricted Subsidiaries that (1) would not appear as “restricted” on a consolidated balance sheet of the Borrower and the Restricted Subsidiaries or (2) are restricted in favor of the Facilities (which may also secure other Indebtedness secured by a pari passu or junior Lien basis with the Facilities);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Unrestricted Cash Amount shall not exceed $75,000,000.</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Subsidiary</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760" w:firstLine="745"/>
        <w:spacing w:after="0" w:line="269" w:lineRule="auto"/>
        <w:tabs>
          <w:tab w:leader="none" w:pos="19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the Borrower which at the time of determination is an Unrestricted Subsidiary (as designated by the Borrower, as provided below);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an Unrestricted Subsidiary.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0" w:name="page201"/>
    <w:bookmarkEnd w:id="200"/>
    <w:p>
      <w:pPr>
        <w:ind w:left="1500"/>
        <w:spacing w:after="0"/>
        <w:rPr>
          <w:sz w:val="20"/>
          <w:szCs w:val="20"/>
          <w:color w:val="auto"/>
        </w:rPr>
      </w:pPr>
      <w:r>
        <w:rPr>
          <w:rFonts w:ascii="Times New Roman" w:cs="Times New Roman" w:eastAsia="Times New Roman" w:hAnsi="Times New Roman"/>
          <w:sz w:val="20"/>
          <w:szCs w:val="20"/>
          <w:color w:val="auto"/>
        </w:rPr>
        <w:t>So long as no Event of Default shall have occurred and be continuing or would result therefrom, the Borrower may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designate:</w:t>
      </w:r>
    </w:p>
    <w:p>
      <w:pPr>
        <w:spacing w:after="0" w:line="194" w:lineRule="exact"/>
        <w:rPr>
          <w:sz w:val="20"/>
          <w:szCs w:val="20"/>
          <w:color w:val="auto"/>
        </w:rPr>
      </w:pPr>
    </w:p>
    <w:p>
      <w:pPr>
        <w:ind w:left="760" w:right="20" w:firstLine="745"/>
        <w:spacing w:after="0" w:line="242"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of the Borrower (including any existing Subsidiary and any newly acquired or newly formed Subsidiary, but excluding any Borrower) to be an Unrestricted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Unrestricted Subsidiary shall directly or indirectly own any Equity Interests in any Restricted Subsidiary (unless such Restricted Subsidiary is also designated as an Unrestricted Subsidiary simultaneously with the aforementioned designation in accordance with the terms hereof) or hold any Indebtedness of or any Lien on any property of the Borrower or its Restricted Subsidiaries (other than solely any Subsidiary of the Subsidiary to be so designated);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 such designation shall be deemed an Investment, (ii) each of (I) the Subsidiary to be so designated and (II) 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 (other than Equity Interests in an Unrestricted Subsidiary) and (iii) neither the Borrower nor any Restricted Subsidiary may transfer legal title to, or license on an exclusive basis (excluding exclusive licenses limited by territory or field of use or granted in the ordinary course of business), any Material Intellectual Property to any Unrestricted Subsidiary; and</w:t>
      </w:r>
    </w:p>
    <w:p>
      <w:pPr>
        <w:spacing w:after="0" w:line="18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Unrestricted Subsidiary to be a Restricted Subsidiary.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 xml:space="preserve">Any such designation by the Borrower will be notified by the Borrower to the Administrative Agent (in the case of </w:t>
      </w:r>
      <w:r>
        <w:rPr>
          <w:rFonts w:ascii="Times New Roman" w:cs="Times New Roman" w:eastAsia="Times New Roman" w:hAnsi="Times New Roman"/>
          <w:sz w:val="19"/>
          <w:szCs w:val="19"/>
          <w:u w:val="single" w:color="auto"/>
          <w:color w:val="auto"/>
        </w:rPr>
        <w:t>clause</w:t>
      </w:r>
    </w:p>
    <w:p>
      <w:pPr>
        <w:spacing w:after="0" w:line="33" w:lineRule="exact"/>
        <w:rPr>
          <w:sz w:val="20"/>
          <w:szCs w:val="20"/>
          <w:color w:val="auto"/>
        </w:rPr>
      </w:pPr>
    </w:p>
    <w:p>
      <w:pPr>
        <w:jc w:val="both"/>
        <w:ind w:firstLine="8"/>
        <w:spacing w:after="0" w:line="242" w:lineRule="auto"/>
        <w:tabs>
          <w:tab w:leader="none" w:pos="269" w:val="left"/>
        </w:tabs>
        <w:numPr>
          <w:ilvl w:val="0"/>
          <w:numId w:val="1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by promptly filing with the Administrative Agent an Officer’s Certificate certifying that such designation complied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The designation of any Unrestricted Subsidiary as a Restricted Subsidiary shall constitute the incurrence at the time of designation of any Indebtedness and Liens of such Subsidiary existing at such time.</w:t>
      </w:r>
    </w:p>
    <w:p>
      <w:pPr>
        <w:spacing w:after="0" w:line="183" w:lineRule="exact"/>
        <w:rPr>
          <w:sz w:val="20"/>
          <w:szCs w:val="20"/>
          <w:color w:val="auto"/>
        </w:rPr>
      </w:pPr>
    </w:p>
    <w:p>
      <w:pPr>
        <w:ind w:right="500" w:firstLine="1497"/>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Public Law No. 107-56 (signed into law October 26, 2001)), as amended or modified from time to time.</w:t>
      </w:r>
    </w:p>
    <w:p>
      <w:pPr>
        <w:spacing w:after="0" w:line="169" w:lineRule="exact"/>
        <w:rPr>
          <w:sz w:val="20"/>
          <w:szCs w:val="20"/>
          <w:color w:val="auto"/>
        </w:rPr>
      </w:pPr>
    </w:p>
    <w:p>
      <w:pPr>
        <w:ind w:right="1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Stock</w:t>
      </w:r>
      <w:r>
        <w:rPr>
          <w:rFonts w:ascii="Times New Roman" w:cs="Times New Roman" w:eastAsia="Times New Roman" w:hAnsi="Times New Roman"/>
          <w:sz w:val="20"/>
          <w:szCs w:val="20"/>
          <w:color w:val="auto"/>
        </w:rPr>
        <w:t>” of any Person as of any date means the Capital Stock of such Person that is at the time entitled to vote in the election of the Board of Directors of such Person.</w:t>
      </w:r>
    </w:p>
    <w:p>
      <w:pPr>
        <w:spacing w:after="0" w:line="152" w:lineRule="exact"/>
        <w:rPr>
          <w:sz w:val="20"/>
          <w:szCs w:val="20"/>
          <w:color w:val="auto"/>
        </w:rPr>
      </w:pPr>
    </w:p>
    <w:p>
      <w:pPr>
        <w:ind w:right="8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Weighted Average Life to Maturity</w:t>
      </w:r>
      <w:r>
        <w:rPr>
          <w:rFonts w:ascii="Times New Roman" w:cs="Times New Roman" w:eastAsia="Times New Roman" w:hAnsi="Times New Roman"/>
          <w:sz w:val="20"/>
          <w:szCs w:val="20"/>
          <w:color w:val="auto"/>
        </w:rPr>
        <w:t>” means, when applied to any Indebtedness, Disqualified Stock or Preferred Stock, as the case may be, at any date, the quotient obtained by dividing:</w:t>
      </w:r>
    </w:p>
    <w:p>
      <w:pPr>
        <w:spacing w:after="0" w:line="156" w:lineRule="exact"/>
        <w:rPr>
          <w:sz w:val="20"/>
          <w:szCs w:val="20"/>
          <w:color w:val="auto"/>
        </w:rPr>
      </w:pPr>
    </w:p>
    <w:p>
      <w:pPr>
        <w:ind w:left="760" w:right="240" w:firstLine="745"/>
        <w:spacing w:after="0" w:line="254" w:lineRule="auto"/>
        <w:tabs>
          <w:tab w:leader="none" w:pos="190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the products of the number of years (calculated to the nearest one-twenty-fifth) from the date of determination to the date of each successive scheduled principal payment of such Indebtedness or redemption or similar payment with respect to such Disqualified Stock or Preferred Stock,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amount of such payment, </w:t>
      </w:r>
      <w:r>
        <w:rPr>
          <w:rFonts w:ascii="Times New Roman" w:cs="Times New Roman" w:eastAsia="Times New Roman" w:hAnsi="Times New Roman"/>
          <w:sz w:val="20"/>
          <w:szCs w:val="20"/>
          <w:i w:val="1"/>
          <w:iCs w:val="1"/>
          <w:color w:val="auto"/>
        </w:rPr>
        <w:t>by</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all such payments;</w:t>
      </w:r>
    </w:p>
    <w:p>
      <w:pPr>
        <w:spacing w:after="0" w:line="21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for purposes of determining the Weighted Average Life to Maturity of any Indebtedness (the “</w:t>
      </w:r>
      <w:r>
        <w:rPr>
          <w:rFonts w:ascii="Times New Roman" w:cs="Times New Roman" w:eastAsia="Times New Roman" w:hAnsi="Times New Roman"/>
          <w:sz w:val="20"/>
          <w:szCs w:val="20"/>
          <w:b w:val="1"/>
          <w:bCs w:val="1"/>
          <w:color w:val="auto"/>
        </w:rPr>
        <w:t>Applicable Indebtedness</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effects of any amortization or prepayments made on such Applicable Indebtedness prior to the date of such determination will be disregarded.</w:t>
      </w:r>
    </w:p>
    <w:p>
      <w:pPr>
        <w:spacing w:after="0" w:line="169" w:lineRule="exact"/>
        <w:rPr>
          <w:sz w:val="20"/>
          <w:szCs w:val="20"/>
          <w:color w:val="auto"/>
        </w:rPr>
      </w:pPr>
    </w:p>
    <w:p>
      <w:pPr>
        <w:ind w:right="24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wholly owned</w:t>
      </w:r>
      <w:r>
        <w:rPr>
          <w:rFonts w:ascii="Times New Roman" w:cs="Times New Roman" w:eastAsia="Times New Roman" w:hAnsi="Times New Roman"/>
          <w:sz w:val="20"/>
          <w:szCs w:val="20"/>
          <w:color w:val="auto"/>
        </w:rPr>
        <w:t>” means, with respect to any Subsidiary of any Person, a Subsidiary of such Person one hundred percent (100%) of the outstanding Equity Interests of which (other than (1)</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01" w:name="page202"/>
    <w:bookmarkEnd w:id="201"/>
    <w:p>
      <w:pPr>
        <w:ind w:right="40"/>
        <w:spacing w:after="0" w:line="269" w:lineRule="auto"/>
        <w:rPr>
          <w:sz w:val="20"/>
          <w:szCs w:val="20"/>
          <w:color w:val="auto"/>
        </w:rPr>
      </w:pPr>
      <w:r>
        <w:rPr>
          <w:rFonts w:ascii="Times New Roman" w:cs="Times New Roman" w:eastAsia="Times New Roman" w:hAnsi="Times New Roman"/>
          <w:sz w:val="20"/>
          <w:szCs w:val="20"/>
          <w:color w:val="auto"/>
        </w:rPr>
        <w:t>directors’ qualifying shares and (2) shares of Capital Stock of Foreign Subsidiaries issued to foreign nationals as required by applicable Law) is at the time owned by such Person or by one or more wholly owned Subsidiaries of such Person.</w:t>
      </w:r>
    </w:p>
    <w:p>
      <w:pPr>
        <w:spacing w:after="0" w:line="155" w:lineRule="exact"/>
        <w:rPr>
          <w:sz w:val="20"/>
          <w:szCs w:val="20"/>
          <w:color w:val="auto"/>
        </w:rPr>
      </w:pPr>
    </w:p>
    <w:p>
      <w:pPr>
        <w:ind w:right="160" w:firstLine="149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Withdrawal Liability</w:t>
      </w:r>
      <w:r>
        <w:rPr>
          <w:rFonts w:ascii="Times New Roman" w:cs="Times New Roman" w:eastAsia="Times New Roman" w:hAnsi="Times New Roman"/>
          <w:sz w:val="20"/>
          <w:szCs w:val="20"/>
          <w:color w:val="auto"/>
        </w:rPr>
        <w:t>” means the liability to a Multiemployer Plan as a result of a complete or partial withdrawal from such Multiemployer Plan, as such terms are defined in Part I of Subtitle E of Title IV of ERISA.</w:t>
      </w:r>
    </w:p>
    <w:p>
      <w:pPr>
        <w:spacing w:after="0" w:line="152" w:lineRule="exact"/>
        <w:rPr>
          <w:sz w:val="20"/>
          <w:szCs w:val="20"/>
          <w:color w:val="auto"/>
        </w:rPr>
      </w:pPr>
    </w:p>
    <w:p>
      <w:pPr>
        <w:ind w:right="80" w:firstLine="14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U.S. Branch</w:t>
      </w:r>
      <w:r>
        <w:rPr>
          <w:rFonts w:ascii="Times New Roman" w:cs="Times New Roman" w:eastAsia="Times New Roman" w:hAnsi="Times New Roman"/>
          <w:sz w:val="20"/>
          <w:szCs w:val="20"/>
          <w:color w:val="auto"/>
        </w:rPr>
        <w:t>” means a U.S. branch of a non-U.S. bank treated as a U.S. person for purposes of Treasury Regulations Section 1.1441-1 and described in Treasury Regulations Section 1.1441-1(b)(2)(iv) that agrees, on IRS Form W-8IMY or such other form prescribed by the Treasury or the IRS, to accept responsibility for all U.S. federal income tax withholding and information reporting with respect to payments made to the Administrative Agent for the account of Lenders by or on behalf of any Loan Party under the Loan Documents.</w:t>
      </w:r>
    </w:p>
    <w:p>
      <w:pPr>
        <w:spacing w:after="0" w:line="180" w:lineRule="exact"/>
        <w:rPr>
          <w:sz w:val="20"/>
          <w:szCs w:val="20"/>
          <w:color w:val="auto"/>
        </w:rPr>
      </w:pPr>
    </w:p>
    <w:p>
      <w:pPr>
        <w:ind w:right="40" w:firstLine="14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Yen</w:t>
      </w:r>
      <w:r>
        <w:rPr>
          <w:rFonts w:ascii="Times New Roman" w:cs="Times New Roman" w:eastAsia="Times New Roman" w:hAnsi="Times New Roman"/>
          <w:sz w:val="20"/>
          <w:szCs w:val="20"/>
          <w:color w:val="auto"/>
        </w:rPr>
        <w:t>” means the lawful currency of Japan.</w:t>
      </w:r>
    </w:p>
    <w:p>
      <w:pPr>
        <w:spacing w:after="0" w:line="220"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SECTION 1.02 Other Interpretive Provisions. With reference to this Agreement and each other Loan Document, unless otherwise specified herein or in such other Loan Document:</w:t>
      </w:r>
    </w:p>
    <w:p>
      <w:pPr>
        <w:spacing w:after="0" w:line="159" w:lineRule="exact"/>
        <w:rPr>
          <w:sz w:val="20"/>
          <w:szCs w:val="20"/>
          <w:color w:val="auto"/>
        </w:rPr>
      </w:pPr>
    </w:p>
    <w:p>
      <w:pPr>
        <w:ind w:left="1900" w:hanging="395"/>
        <w:spacing w:after="0"/>
        <w:tabs>
          <w:tab w:leader="none" w:pos="19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w:t>
      </w:r>
    </w:p>
    <w:p>
      <w:pPr>
        <w:spacing w:after="0" w:line="215" w:lineRule="exact"/>
        <w:rPr>
          <w:rFonts w:ascii="Times New Roman" w:cs="Times New Roman" w:eastAsia="Times New Roman" w:hAnsi="Times New Roman"/>
          <w:sz w:val="20"/>
          <w:szCs w:val="20"/>
          <w:color w:val="auto"/>
        </w:rPr>
      </w:pPr>
    </w:p>
    <w:p>
      <w:pPr>
        <w:ind w:right="740" w:firstLine="1505"/>
        <w:spacing w:after="0" w:line="269"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“hereto,” “hereof” and “hereunder” and words of similar import when used in any Loan Document shall refer to such Loan Document as a whole and not to any particular provision thereof.</w:t>
      </w:r>
    </w:p>
    <w:p>
      <w:pPr>
        <w:spacing w:after="0" w:line="159" w:lineRule="exact"/>
        <w:rPr>
          <w:rFonts w:ascii="Times New Roman" w:cs="Times New Roman" w:eastAsia="Times New Roman" w:hAnsi="Times New Roman"/>
          <w:sz w:val="20"/>
          <w:szCs w:val="20"/>
          <w:color w:val="auto"/>
        </w:rPr>
      </w:pPr>
    </w:p>
    <w:p>
      <w:pPr>
        <w:ind w:right="200" w:firstLine="1505"/>
        <w:spacing w:after="0" w:line="249"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this Agreement to an Exhibit, Schedule, Article, Section, Annex, clause or subclause refer (a) to the appropriate Exhibit or Schedule to, or Article, Section, clause or subclause in this Agreement or (b) to the extent such references are not present in this Agreement, to the Loan Document in which such reference appears, in each case as such Exhibit, Schedule, Article, Section, Annex, clause or subclause may be amended or supplemented from time to time.</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“including” is by way of example and not limitation.</w:t>
      </w:r>
    </w:p>
    <w:p>
      <w:pPr>
        <w:spacing w:after="0" w:line="215" w:lineRule="exact"/>
        <w:rPr>
          <w:rFonts w:ascii="Times New Roman" w:cs="Times New Roman" w:eastAsia="Times New Roman" w:hAnsi="Times New Roman"/>
          <w:sz w:val="20"/>
          <w:szCs w:val="20"/>
          <w:color w:val="auto"/>
        </w:rPr>
      </w:pPr>
    </w:p>
    <w:p>
      <w:pPr>
        <w:ind w:right="660" w:firstLine="1505"/>
        <w:spacing w:after="0" w:line="269" w:lineRule="auto"/>
        <w:tabs>
          <w:tab w:leader="none" w:pos="189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2" w:name="page203"/>
    <w:bookmarkEnd w:id="202"/>
    <w:p>
      <w:pPr>
        <w:ind w:left="-20" w:right="280" w:firstLine="1505"/>
        <w:spacing w:after="0" w:line="269" w:lineRule="auto"/>
        <w:tabs>
          <w:tab w:leader="none" w:pos="1873"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9" w:lineRule="exact"/>
        <w:rPr>
          <w:rFonts w:ascii="Times New Roman" w:cs="Times New Roman" w:eastAsia="Times New Roman" w:hAnsi="Times New Roman"/>
          <w:sz w:val="20"/>
          <w:szCs w:val="20"/>
          <w:color w:val="auto"/>
        </w:rPr>
      </w:pPr>
    </w:p>
    <w:p>
      <w:pPr>
        <w:ind w:left="-20" w:right="240" w:firstLine="1505"/>
        <w:spacing w:after="0" w:line="269" w:lineRule="auto"/>
        <w:tabs>
          <w:tab w:leader="none" w:pos="1873"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“or” is not intended to be exclusive unless expressly indicated otherwise.</w:t>
      </w:r>
    </w:p>
    <w:p>
      <w:pPr>
        <w:spacing w:after="0" w:line="215" w:lineRule="exact"/>
        <w:rPr>
          <w:rFonts w:ascii="Times New Roman" w:cs="Times New Roman" w:eastAsia="Times New Roman" w:hAnsi="Times New Roman"/>
          <w:sz w:val="20"/>
          <w:szCs w:val="20"/>
          <w:color w:val="auto"/>
        </w:rPr>
      </w:pPr>
    </w:p>
    <w:p>
      <w:pPr>
        <w:ind w:left="-20" w:firstLine="1505"/>
        <w:spacing w:after="0" w:line="241" w:lineRule="auto"/>
        <w:tabs>
          <w:tab w:leader="none" w:pos="1873"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Default or Event of Default (other than any Event of Default with respect to any Financial Covenant) prior to the termination of all Commitments and the acceleration of all Loans under Section 8.02 (any such Default or Event of Default, a “</w:t>
      </w:r>
      <w:r>
        <w:rPr>
          <w:rFonts w:ascii="Times New Roman" w:cs="Times New Roman" w:eastAsia="Times New Roman" w:hAnsi="Times New Roman"/>
          <w:sz w:val="20"/>
          <w:szCs w:val="20"/>
          <w:b w:val="1"/>
          <w:bCs w:val="1"/>
          <w:color w:val="auto"/>
        </w:rPr>
        <w:t>Curable Default</w:t>
      </w:r>
      <w:r>
        <w:rPr>
          <w:rFonts w:ascii="Times New Roman" w:cs="Times New Roman" w:eastAsia="Times New Roman" w:hAnsi="Times New Roman"/>
          <w:sz w:val="20"/>
          <w:szCs w:val="20"/>
          <w:color w:val="auto"/>
        </w:rPr>
        <w:t>”), the words “exists,” “is continuing” or similar expressions with respect thereto shall mean that the Default or Event of Default has occurred and has not yet been cured or waived. If any Curable Default occurs due to (a) the failure by any Loan Party or other Restricted Subsidiary to take any action by a specified time, such Curable Default shall be deemed to have been cured at the time, if any, that the applicable Loan Party or other Restricted Subsidiary takes such action or (b) the taking of any action by any Loan Party or other Restricted Subsidiary that is not then permitted by the terms of this Agreement or any other Loan Document, such Curable Default shall be deemed to be cured on the earlier to occur of (i) the date on which such action would be permitted at such time to be taken under this Agreement and the other Loan Documents and (ii) the date on which such action is unwound or otherwise modified to the extent necessary for such revised action to be permitted at such time by this Agreement and the other Loan Documents. If any Curable Default occurs that is subsequently cured (a “</w:t>
      </w:r>
      <w:r>
        <w:rPr>
          <w:rFonts w:ascii="Times New Roman" w:cs="Times New Roman" w:eastAsia="Times New Roman" w:hAnsi="Times New Roman"/>
          <w:sz w:val="20"/>
          <w:szCs w:val="20"/>
          <w:b w:val="1"/>
          <w:bCs w:val="1"/>
          <w:color w:val="auto"/>
        </w:rPr>
        <w:t>Cured Default</w:t>
      </w:r>
      <w:r>
        <w:rPr>
          <w:rFonts w:ascii="Times New Roman" w:cs="Times New Roman" w:eastAsia="Times New Roman" w:hAnsi="Times New Roman"/>
          <w:sz w:val="20"/>
          <w:szCs w:val="20"/>
          <w:color w:val="auto"/>
        </w:rPr>
        <w:t xml:space="preserve">”), any other Default or Event of Default resulting from the making or deemed making of any representation or warranty by any Loan Party or the taking of any action by any Loan Party or any Subsidiary of any Loan Party, in each case which subsequent Default or Event of Default would not have arisen had the Cured Default not occurred, shall be deemed to be cured automatically upon, and simultaneous with, the cure of the Cured Default. This Section 1.02(9) shall not affect the cure rights pursuant to Section 8.04. Notwithstanding anything to the contrary in this </w:t>
      </w:r>
      <w:r>
        <w:rPr>
          <w:rFonts w:ascii="Times New Roman" w:cs="Times New Roman" w:eastAsia="Times New Roman" w:hAnsi="Times New Roman"/>
          <w:sz w:val="20"/>
          <w:szCs w:val="20"/>
          <w:u w:val="single" w:color="auto"/>
          <w:color w:val="auto"/>
        </w:rPr>
        <w:t>Section 1.02(9)</w:t>
      </w:r>
      <w:r>
        <w:rPr>
          <w:rFonts w:ascii="Times New Roman" w:cs="Times New Roman" w:eastAsia="Times New Roman" w:hAnsi="Times New Roman"/>
          <w:sz w:val="20"/>
          <w:szCs w:val="20"/>
          <w:color w:val="auto"/>
        </w:rPr>
        <w:t>, an Event of Default (the “</w:t>
      </w:r>
      <w:r>
        <w:rPr>
          <w:rFonts w:ascii="Times New Roman" w:cs="Times New Roman" w:eastAsia="Times New Roman" w:hAnsi="Times New Roman"/>
          <w:sz w:val="20"/>
          <w:szCs w:val="20"/>
          <w:b w:val="1"/>
          <w:bCs w:val="1"/>
          <w:color w:val="auto"/>
        </w:rPr>
        <w:t>Initial Default</w:t>
      </w:r>
      <w:r>
        <w:rPr>
          <w:rFonts w:ascii="Times New Roman" w:cs="Times New Roman" w:eastAsia="Times New Roman" w:hAnsi="Times New Roman"/>
          <w:sz w:val="20"/>
          <w:szCs w:val="20"/>
          <w:color w:val="auto"/>
        </w:rPr>
        <w:t xml:space="preserve">”) may not be cured pursuant to this </w:t>
      </w:r>
      <w:r>
        <w:rPr>
          <w:rFonts w:ascii="Times New Roman" w:cs="Times New Roman" w:eastAsia="Times New Roman" w:hAnsi="Times New Roman"/>
          <w:sz w:val="20"/>
          <w:szCs w:val="20"/>
          <w:u w:val="single" w:color="auto"/>
          <w:color w:val="auto"/>
        </w:rPr>
        <w:t>Section 1.02(9)</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left="-20" w:firstLine="1880"/>
        <w:spacing w:after="0" w:line="254" w:lineRule="auto"/>
        <w:tabs>
          <w:tab w:leader="none" w:pos="224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taking of any action by any Loan Party or Subsidiary of a Loan Party that is not permitted during, and as a result of, the continuance of such Initial Default directly results in the cure of such Initial Default and the applicable Loan Party or Subsidiary had actual knowledge at the time of taking any such action that the Initial Default had occurred and was continuing,</w:t>
      </w:r>
    </w:p>
    <w:p>
      <w:pPr>
        <w:spacing w:after="0" w:line="174" w:lineRule="exact"/>
        <w:rPr>
          <w:rFonts w:ascii="Times New Roman" w:cs="Times New Roman" w:eastAsia="Times New Roman" w:hAnsi="Times New Roman"/>
          <w:sz w:val="20"/>
          <w:szCs w:val="20"/>
          <w:color w:val="auto"/>
        </w:rPr>
      </w:pPr>
    </w:p>
    <w:p>
      <w:pPr>
        <w:ind w:left="-20" w:firstLine="1880"/>
        <w:spacing w:after="0" w:line="254" w:lineRule="auto"/>
        <w:tabs>
          <w:tab w:leader="none" w:pos="224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Event of Default under </w:t>
      </w:r>
      <w:r>
        <w:rPr>
          <w:rFonts w:ascii="Times New Roman" w:cs="Times New Roman" w:eastAsia="Times New Roman" w:hAnsi="Times New Roman"/>
          <w:sz w:val="20"/>
          <w:szCs w:val="20"/>
          <w:u w:val="single" w:color="auto"/>
          <w:color w:val="auto"/>
        </w:rPr>
        <w:t>Section 8.01(9)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that directly results in material impairment of the rights and remedies of the Lenders, Collateral Agent and Administrative Agent under the Loan Documents and that is incapable of being cured,</w:t>
      </w:r>
    </w:p>
    <w:p>
      <w:pPr>
        <w:spacing w:after="0" w:line="174" w:lineRule="exact"/>
        <w:rPr>
          <w:rFonts w:ascii="Times New Roman" w:cs="Times New Roman" w:eastAsia="Times New Roman" w:hAnsi="Times New Roman"/>
          <w:sz w:val="20"/>
          <w:szCs w:val="20"/>
          <w:color w:val="auto"/>
        </w:rPr>
      </w:pPr>
    </w:p>
    <w:p>
      <w:pPr>
        <w:jc w:val="both"/>
        <w:ind w:left="-20" w:right="120" w:firstLine="1880"/>
        <w:spacing w:after="0" w:line="274" w:lineRule="auto"/>
        <w:tabs>
          <w:tab w:leader="none" w:pos="2248"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 Event of Default under </w:t>
      </w:r>
      <w:r>
        <w:rPr>
          <w:rFonts w:ascii="Times New Roman" w:cs="Times New Roman" w:eastAsia="Times New Roman" w:hAnsi="Times New Roman"/>
          <w:sz w:val="19"/>
          <w:szCs w:val="19"/>
          <w:u w:val="single" w:color="auto"/>
          <w:color w:val="auto"/>
        </w:rPr>
        <w:t>Section 8.01(3)</w:t>
      </w:r>
      <w:r>
        <w:rPr>
          <w:rFonts w:ascii="Times New Roman" w:cs="Times New Roman" w:eastAsia="Times New Roman" w:hAnsi="Times New Roman"/>
          <w:sz w:val="19"/>
          <w:szCs w:val="19"/>
          <w:color w:val="auto"/>
        </w:rPr>
        <w:t xml:space="preserve"> arising due to the failure to perform or observe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6.07</w:t>
      </w:r>
      <w:r>
        <w:rPr>
          <w:rFonts w:ascii="Times New Roman" w:cs="Times New Roman" w:eastAsia="Times New Roman" w:hAnsi="Times New Roman"/>
          <w:sz w:val="19"/>
          <w:szCs w:val="19"/>
          <w:color w:val="auto"/>
        </w:rPr>
        <w:t xml:space="preserve"> that directly results in a material adverse effect on the ability of the Borrower and the other Loan Parties (taken as a whole) to perform their respective payment obligations under any Loan Document to which the Borrower or any of the other Loan Parties is a party, or</w:t>
      </w:r>
    </w:p>
    <w:p>
      <w:pPr>
        <w:spacing w:after="0" w:line="156" w:lineRule="exact"/>
        <w:rPr>
          <w:rFonts w:ascii="Times New Roman" w:cs="Times New Roman" w:eastAsia="Times New Roman" w:hAnsi="Times New Roman"/>
          <w:sz w:val="19"/>
          <w:szCs w:val="19"/>
          <w:color w:val="auto"/>
        </w:rPr>
      </w:pPr>
    </w:p>
    <w:p>
      <w:pPr>
        <w:ind w:left="-20" w:right="140" w:firstLine="1880"/>
        <w:spacing w:after="0" w:line="269" w:lineRule="auto"/>
        <w:tabs>
          <w:tab w:leader="none" w:pos="224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Event of Default arises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(solely with respect to a failure to pay principal or interest payments hereunder) or </w:t>
      </w:r>
      <w:r>
        <w:rPr>
          <w:rFonts w:ascii="Times New Roman" w:cs="Times New Roman" w:eastAsia="Times New Roman" w:hAnsi="Times New Roman"/>
          <w:sz w:val="20"/>
          <w:szCs w:val="20"/>
          <w:u w:val="single" w:color="auto"/>
          <w:color w:val="auto"/>
        </w:rPr>
        <w:t>8.01(6)</w:t>
      </w:r>
      <w:r>
        <w:rPr>
          <w:rFonts w:ascii="Times New Roman" w:cs="Times New Roman" w:eastAsia="Times New Roman" w:hAnsi="Times New Roman"/>
          <w:sz w:val="20"/>
          <w:szCs w:val="20"/>
          <w:color w:val="auto"/>
        </w:rPr>
        <w: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203" w:name="page204"/>
    <w:bookmarkEnd w:id="203"/>
    <w:p>
      <w:pPr>
        <w:ind w:right="240" w:firstLine="1505"/>
        <w:spacing w:after="0" w:line="254" w:lineRule="auto"/>
        <w:tabs>
          <w:tab w:leader="none" w:pos="189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hereof, 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reference in the Loan Documents with respect to the priority of Liens shall be determined without regard to the control of applicable remedies, in each case, unless otherwise expressly stated in the Loan Documents in respect thereof.</w:t>
      </w:r>
    </w:p>
    <w:p>
      <w:pPr>
        <w:spacing w:after="0" w:line="159"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color w:val="auto"/>
        </w:rPr>
        <w:t>Accounting Terms.</w:t>
      </w:r>
    </w:p>
    <w:p>
      <w:pPr>
        <w:spacing w:after="0" w:line="216" w:lineRule="exact"/>
        <w:rPr>
          <w:sz w:val="20"/>
          <w:szCs w:val="20"/>
          <w:color w:val="auto"/>
        </w:rPr>
      </w:pPr>
    </w:p>
    <w:p>
      <w:pPr>
        <w:ind w:right="60" w:firstLine="1505"/>
        <w:spacing w:after="0" w:line="241" w:lineRule="auto"/>
        <w:tabs>
          <w:tab w:leader="none" w:pos="1893"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Notwithstanding any other provision contained herein, (x)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Holdings, the Borrower or any of its Subsidiaries at “fair value,” as defined therein and (y) all references to “in the ordinary course of business” of the Borrower or any Affiliated Practice or any Restricted Subsidiary of the foregoing means (i) in the ordinary course of business of, or in furtherance of an objective that is in the ordinary course of business of the Borrower, such Affiliated Practice or such Restricted Subsidiary, as applicable, (ii) customary and usual in the industry or industries of the Borrower, its Affiliated Practices and their respective Restricted Subsidiaries in the United States or any other jurisdiction in which the Borrower, any Affiliated Practice or any Restricted Subsidiary does business, as applicable, or (iii) generally consistent with the past or current practice of the Borrower, such Affiliated Practice or such Restricted Subsidiary, as applicable, or any similarly situated businesses in the United States or any other jurisdiction in which the Borrower, any Affiliated Practice or any Restricted Subsidiary does business, as applicable, in each case, as determined in good faith by the Borrower.</w:t>
      </w:r>
    </w:p>
    <w:p>
      <w:pPr>
        <w:spacing w:after="0" w:line="194" w:lineRule="exact"/>
        <w:rPr>
          <w:rFonts w:ascii="Times New Roman" w:cs="Times New Roman" w:eastAsia="Times New Roman" w:hAnsi="Times New Roman"/>
          <w:sz w:val="20"/>
          <w:szCs w:val="20"/>
          <w:color w:val="auto"/>
        </w:rPr>
      </w:pPr>
    </w:p>
    <w:p>
      <w:pPr>
        <w:ind w:right="60" w:firstLine="1505"/>
        <w:spacing w:after="0" w:line="260" w:lineRule="auto"/>
        <w:tabs>
          <w:tab w:leader="none" w:pos="1893"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Agreement or any other Loan Document, solely for purposes of determining Net Income, Consolidated Net Income and Consolidated EBITDA (including, solely for the purpose of calculating Net Income, Consolidated Net Income or Consolidated EBITDA, for the avoidance of doubt, any other financial definition referenced therein) (in each case, without limitation, including on a Pro Forma Basis or in connection with any Specified Transaction) the consolidated financial results or performance of the Borrower and its Restricted Subsidiaries shall include the financial results or performance of the Affiliated Practices, in each case, to the extent such consolidation is required or, at the election of the Borrower, permitted under GAAP.</w:t>
      </w:r>
    </w:p>
    <w:p>
      <w:pPr>
        <w:spacing w:after="0" w:line="172" w:lineRule="exact"/>
        <w:rPr>
          <w:rFonts w:ascii="Times New Roman" w:cs="Times New Roman" w:eastAsia="Times New Roman" w:hAnsi="Times New Roman"/>
          <w:sz w:val="19"/>
          <w:szCs w:val="19"/>
          <w:color w:val="auto"/>
        </w:rPr>
      </w:pPr>
    </w:p>
    <w:p>
      <w:pPr>
        <w:ind w:right="40" w:firstLine="1505"/>
        <w:spacing w:after="0" w:line="246" w:lineRule="auto"/>
        <w:tabs>
          <w:tab w:leader="none" w:pos="1893"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or any other Loan Document, unless the Borrower has notified the Administrative Agent in writing that this sentence shall not apply with respect to an applicable Test Period on or prior to the delivery of financial statements for such Test Period, each provision under this Agreement shall, in each case, be determined without giving effect to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except that financial statements delivered pursuant to this Agreement under Section 6.01 may be prepared in accordance with GAAP (including giving effect to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as in effect at the time of such delivery.</w:t>
      </w:r>
    </w:p>
    <w:p>
      <w:pPr>
        <w:spacing w:after="0" w:line="185" w:lineRule="exact"/>
        <w:rPr>
          <w:sz w:val="20"/>
          <w:szCs w:val="20"/>
          <w:color w:val="auto"/>
        </w:rPr>
      </w:pPr>
    </w:p>
    <w:p>
      <w:pPr>
        <w:ind w:right="160" w:firstLine="1497"/>
        <w:spacing w:after="0" w:line="269" w:lineRule="auto"/>
        <w:rPr>
          <w:sz w:val="20"/>
          <w:szCs w:val="20"/>
          <w:color w:val="auto"/>
        </w:rPr>
      </w:pPr>
      <w:r>
        <w:rPr>
          <w:rFonts w:ascii="Times New Roman" w:cs="Times New Roman" w:eastAsia="Times New Roman" w:hAnsi="Times New Roman"/>
          <w:sz w:val="20"/>
          <w:szCs w:val="20"/>
          <w:color w:val="auto"/>
        </w:rPr>
        <w:t>SECTION 1.04 Rounding. Any financial ratios required to be satisfied in order for a specific action to be permitted under this Agreement shall be calculated by dividing the appropriate</w:t>
      </w: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204" w:name="page205"/>
    <w:bookmarkEnd w:id="204"/>
    <w:p>
      <w:pPr>
        <w:ind w:right="160"/>
        <w:spacing w:after="0" w:line="269" w:lineRule="auto"/>
        <w:rPr>
          <w:sz w:val="20"/>
          <w:szCs w:val="20"/>
          <w:color w:val="auto"/>
        </w:rPr>
      </w:pPr>
      <w:r>
        <w:rPr>
          <w:rFonts w:ascii="Times New Roman" w:cs="Times New Roman" w:eastAsia="Times New Roman" w:hAnsi="Times New Roman"/>
          <w:sz w:val="20"/>
          <w:szCs w:val="20"/>
          <w:color w:val="auto"/>
        </w:rPr>
        <w:t>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9" w:lineRule="exact"/>
        <w:rPr>
          <w:sz w:val="20"/>
          <w:szCs w:val="20"/>
          <w:color w:val="auto"/>
        </w:rPr>
      </w:pPr>
    </w:p>
    <w:p>
      <w:pPr>
        <w:ind w:firstLine="1497"/>
        <w:spacing w:after="0" w:line="263" w:lineRule="auto"/>
        <w:rPr>
          <w:sz w:val="20"/>
          <w:szCs w:val="20"/>
          <w:color w:val="auto"/>
        </w:rPr>
      </w:pPr>
      <w:r>
        <w:rPr>
          <w:rFonts w:ascii="Times New Roman" w:cs="Times New Roman" w:eastAsia="Times New Roman" w:hAnsi="Times New Roman"/>
          <w:sz w:val="19"/>
          <w:szCs w:val="19"/>
          <w:color w:val="auto"/>
        </w:rPr>
        <w:t>SECTION 1.05 References to Agreements, Laws, Etc. Unless otherwise expressly provided herein, (1) references to Organizational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(2) references to any Law shall include all statutory and regulatory provisions consolidating, amending, replacing, supplementing or interpreting such Law.</w:t>
      </w:r>
    </w:p>
    <w:p>
      <w:pPr>
        <w:spacing w:after="0" w:line="166"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0"/>
          <w:szCs w:val="20"/>
          <w:color w:val="auto"/>
        </w:rPr>
        <w:t>SECTION 1.06 Times of Day and Timing of Payment and Performance. Unless otherwise specified, (1) all references herein to times of day shall be references to New York time (daylight or standard, as applicable) and (2)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85"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1.07</w:t>
      </w:r>
      <w:r>
        <w:rPr>
          <w:sz w:val="20"/>
          <w:szCs w:val="20"/>
          <w:color w:val="auto"/>
        </w:rPr>
        <w:tab/>
      </w:r>
      <w:r>
        <w:rPr>
          <w:rFonts w:ascii="Times New Roman" w:cs="Times New Roman" w:eastAsia="Times New Roman" w:hAnsi="Times New Roman"/>
          <w:sz w:val="19"/>
          <w:szCs w:val="19"/>
          <w:color w:val="auto"/>
        </w:rPr>
        <w:t>Pro Forma and Other Calculations.</w:t>
      </w:r>
    </w:p>
    <w:p>
      <w:pPr>
        <w:spacing w:after="0" w:line="216" w:lineRule="exact"/>
        <w:rPr>
          <w:sz w:val="20"/>
          <w:szCs w:val="20"/>
          <w:color w:val="auto"/>
        </w:rPr>
      </w:pPr>
    </w:p>
    <w:p>
      <w:pPr>
        <w:ind w:right="40" w:firstLine="1505"/>
        <w:spacing w:after="0" w:line="243" w:lineRule="auto"/>
        <w:tabs>
          <w:tab w:leader="none" w:pos="1893"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financial ratios and tests, including the First Lien Net Leverage Ratio, the Secured Net Leverage Ratio, the Total Net Leverage Ratio and the Interest Coverage Ratio shall be calculated in the manner prescribed by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to the contrary in </w:t>
      </w:r>
      <w:r>
        <w:rPr>
          <w:rFonts w:ascii="Times New Roman" w:cs="Times New Roman" w:eastAsia="Times New Roman" w:hAnsi="Times New Roman"/>
          <w:sz w:val="20"/>
          <w:szCs w:val="20"/>
          <w:u w:val="single" w:color="auto"/>
          <w:color w:val="auto"/>
        </w:rPr>
        <w:t>clauses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when calculating the Total Net Leverage Ratio for purposes of (a) the definition of “Applicable Rate” and (b) the Total Net Leverage Financial Covenant (other than for the purpose of determining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compliance with the Total Net Leverage Financial Covenant) and the Interest Coverage Ratio for purposes of the Interest Coverage Ratio Financial Covenant (other than for the purpose of determining pro forma compliance with the Total Net Leverage Financial Covenant), the events described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that occurred subsequent to the end of the applicable Test Period shall not be given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w:t>
      </w:r>
    </w:p>
    <w:p>
      <w:pPr>
        <w:spacing w:after="0" w:line="189" w:lineRule="exact"/>
        <w:rPr>
          <w:rFonts w:ascii="Times New Roman" w:cs="Times New Roman" w:eastAsia="Times New Roman" w:hAnsi="Times New Roman"/>
          <w:sz w:val="20"/>
          <w:szCs w:val="20"/>
          <w:color w:val="auto"/>
        </w:rPr>
      </w:pPr>
    </w:p>
    <w:p>
      <w:pPr>
        <w:ind w:right="40" w:firstLine="1505"/>
        <w:spacing w:after="0" w:line="241" w:lineRule="auto"/>
        <w:tabs>
          <w:tab w:leader="none" w:pos="1893"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calculating any financial ratio or test (or Consolidated EBITDA or Total Assets), Specified Transactions (and, subject to </w:t>
      </w:r>
      <w:r>
        <w:rPr>
          <w:rFonts w:ascii="Times New Roman" w:cs="Times New Roman" w:eastAsia="Times New Roman" w:hAnsi="Times New Roman"/>
          <w:sz w:val="20"/>
          <w:szCs w:val="20"/>
          <w:u w:val="single" w:color="auto"/>
          <w:color w:val="auto"/>
        </w:rPr>
        <w:t>clause (4)</w:t>
      </w:r>
      <w:r>
        <w:rPr>
          <w:rFonts w:ascii="Times New Roman" w:cs="Times New Roman" w:eastAsia="Times New Roman" w:hAnsi="Times New Roman"/>
          <w:sz w:val="20"/>
          <w:szCs w:val="20"/>
          <w:color w:val="auto"/>
        </w:rPr>
        <w:t xml:space="preserve"> below, the incurrence or repayment of any Indebtedness in connection therewith) that have been made (a) during the applicable Test Period or (b) subsequent to such Test Period and prior to or simultaneously with the event for which the calculation of Consolidated EBITDA or any such ratio is made shall be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(or, in the case of Total Assets, on the last day of the applicable Test Period). If since the beginning of any applicable Test Period any Person that subsequently became a Restricted Subsidiary or Affiliated Practice or was merged, amalgamated or consolidated with or into the Borrower or any Restricted Subsidiary or any Affiliated Practice since the beginning of such Test Period shall have made any Specified Transaction that would have required adjustment pursuant to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then such financial ratio or test (or Consolidated EBITDA or Total Assets) shall be calculated to give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in accordance with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any pro forma calculations to be made in connection with any acquisition or investment in respect of which financial statements for the relevant target are not available for the same Test Period for which internal financial statements of the Borrower are available, the Borrower shall determine such pro forma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05" w:name="page206"/>
    <w:bookmarkEnd w:id="205"/>
    <w:p>
      <w:pPr>
        <w:ind w:right="960"/>
        <w:spacing w:after="0" w:line="269" w:lineRule="auto"/>
        <w:rPr>
          <w:sz w:val="20"/>
          <w:szCs w:val="20"/>
          <w:color w:val="auto"/>
        </w:rPr>
      </w:pPr>
      <w:r>
        <w:rPr>
          <w:rFonts w:ascii="Times New Roman" w:cs="Times New Roman" w:eastAsia="Times New Roman" w:hAnsi="Times New Roman"/>
          <w:sz w:val="20"/>
          <w:szCs w:val="20"/>
          <w:color w:val="auto"/>
        </w:rPr>
        <w:t>calculations on the basis of the available financial statements (even if for differing periods) or such other basis as determined on a commercially reasonable basis by the Borrower.</w:t>
      </w:r>
    </w:p>
    <w:p>
      <w:pPr>
        <w:spacing w:after="0" w:line="155" w:lineRule="exact"/>
        <w:rPr>
          <w:sz w:val="20"/>
          <w:szCs w:val="20"/>
          <w:color w:val="auto"/>
        </w:rPr>
      </w:pPr>
    </w:p>
    <w:p>
      <w:pPr>
        <w:ind w:right="20" w:firstLine="1505"/>
        <w:spacing w:after="0" w:line="232" w:lineRule="exact"/>
        <w:tabs>
          <w:tab w:leader="none" w:pos="189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is to be given to a Specified Transaction, the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calculations shall be made in good faith by a Financial Officer of the Borrower and may include, for the avoidance of doubt, the amount of “run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rate” cost savings, operating expense reductions and synergies (but excluding any revenue synergies) projected by the Borrower in good faith to result from, or relating to, any Specified Transaction (including the Transactions and, for the avoidance of doubt, acquisitions and investments occurring prior to the Closing Date) which is being given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that have been realized or are expected to be realized and for which the actions necessary to realize such cost savings, operating expense reductions and synergies are taken, committed to be taken or with respect to which substantial steps have been taken or are expected to be taken (in the good faith determination of the Borrower) (calculated on a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forma </w:t>
      </w:r>
      <w:r>
        <w:rPr>
          <w:rFonts w:ascii="Times New Roman" w:cs="Times New Roman" w:eastAsia="Times New Roman" w:hAnsi="Times New Roman"/>
          <w:sz w:val="20"/>
          <w:szCs w:val="20"/>
          <w:color w:val="auto"/>
        </w:rPr>
        <w:t>basis as though such cost savings, operating expense reductions and synergies had been realized in full on the first day of such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as if such cost savings, operating expense reductions and synergies were realized in full during the entirety of such period and “run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rate” means the full recurring benefit for a period that is associated with any action taken, committed to be taken or with respect to which substantial steps have been taken or are expected to be taken (including any savings expected to result from the elimination of a public target’s compliance costs with public company requirements), whether prior to or following the Closing Date, net of the amount of actual benefits realized during such period from such actions, and any such adjustments shall be included in the initial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calculations of such financial ratios or tests and during any subsequent Test Period in which the effects thereof are expected to be realized) relating to such Specified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amounts are reasonably identifiable, (b) such actions are taken, committed to be taken or with respect to which substantial steps have been taken or are expected to be taken (in the good faith determination of the Borrower) no later than eighteen (18) months after the date of such Specified Transaction (or actions undertaken or implemented prior to the consummation of such Specified Transaction), (c) no amounts shall be added to the extent duplicative of any amounts that are otherwise added back in computing Consolidated EBITDA (or any other components thereof), whether through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adjustment or otherwise, with respect to such period and (d) any “run rate” cost savings, operating expense reductions and synergies added back to Consolidated EBITDA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1.07(3),</w:t>
      </w:r>
      <w:r>
        <w:rPr>
          <w:rFonts w:ascii="Times New Roman" w:cs="Times New Roman" w:eastAsia="Times New Roman" w:hAnsi="Times New Roman"/>
          <w:sz w:val="20"/>
          <w:szCs w:val="20"/>
          <w:color w:val="auto"/>
        </w:rPr>
        <w:t xml:space="preserve"> when aggregated with amounts added back to Consolidated EBITDA pursuant to clauses (1)(l), (1)(r), (1)(s) and (1)(t) of the definition thereof in any Test Period, in each case, other than amounts added back in connection with the Transactions, shall not in the aggregate exceed an amount equal to 30.0% of Consolidated EBITDA of the Borrower (calculated after giving effect to any such addback and all other permitted add-backs and adjustments) for such Test Period on a pro forma basis.</w:t>
      </w:r>
    </w:p>
    <w:p>
      <w:pPr>
        <w:spacing w:after="0" w:line="189" w:lineRule="exact"/>
        <w:rPr>
          <w:rFonts w:ascii="Times New Roman" w:cs="Times New Roman" w:eastAsia="Times New Roman" w:hAnsi="Times New Roman"/>
          <w:sz w:val="20"/>
          <w:szCs w:val="20"/>
          <w:color w:val="auto"/>
        </w:rPr>
      </w:pPr>
    </w:p>
    <w:p>
      <w:pPr>
        <w:ind w:firstLine="1505"/>
        <w:spacing w:after="0" w:line="242" w:lineRule="auto"/>
        <w:tabs>
          <w:tab w:leader="none" w:pos="189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 the Borrower or any Restricted Subsidiary incurs (including by assumption or guarantees), issues or repays (including by redemption, repurchase, repayment, retirement, discharge, defeasance or extinguishment) any Indebtedness (other than Indebtedness incurred or repaid under any revolving credit facility or line of credit unless such Indebtedness has been permanently repaid and not replaced), (b) the Borrower or any Restricted Subsidiary issues, repurchases or redeems Disqualified Stock, (c) any Restricted Subsidiary issues, repurchases or redeems Preferred Stock or (d) the Borrower or any Restricted Subsidiary establishes or eliminates any Designated Revolving Commitments, in each case included in the calculations of any financial ratio or test (and, in each case of the foregoing clauses (a) and (d), any Lien incurred in connection therewith), (i) during the applicable Test Period or (ii) subsequent to the end of the applicable Test Period and prior to or simultaneously with the event for which the calculation of any such ratio is made, then such financial ratio or test shall be calculated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incurrence, issuance, repayment or redemption of Indebtedness, issuance, repurchase or redemption of Disqualified Stock or Preferred Stock, or establishment or elimination of any Designated Revolving Commitments, in each case to the extent required, as if the same had occurred on the last day of the applicable Test Period (except in the case of</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6" w:name="page207"/>
    <w:bookmarkEnd w:id="206"/>
    <w:p>
      <w:pPr>
        <w:ind w:right="260"/>
        <w:spacing w:after="0" w:line="254" w:lineRule="auto"/>
        <w:rPr>
          <w:sz w:val="20"/>
          <w:szCs w:val="20"/>
          <w:color w:val="auto"/>
        </w:rPr>
      </w:pPr>
      <w:r>
        <w:rPr>
          <w:rFonts w:ascii="Times New Roman" w:cs="Times New Roman" w:eastAsia="Times New Roman" w:hAnsi="Times New Roman"/>
          <w:sz w:val="20"/>
          <w:szCs w:val="20"/>
          <w:color w:val="auto"/>
        </w:rPr>
        <w:t>the Interest Coverage Ratio, in which case such incurrence, issuance, repayment or redemption of Indebtedness, issuance, repurchase or redemption of Disqualified Stock or Preferred Stock, or establishment or elimination of any Designated Revolving Commitments, in each case will be given effect, as if the same had occurred on the first day of the applicable Test Period).</w:t>
      </w:r>
    </w:p>
    <w:p>
      <w:pPr>
        <w:spacing w:after="0" w:line="174" w:lineRule="exact"/>
        <w:rPr>
          <w:sz w:val="20"/>
          <w:szCs w:val="20"/>
          <w:color w:val="auto"/>
        </w:rPr>
      </w:pPr>
    </w:p>
    <w:p>
      <w:pPr>
        <w:ind w:right="160" w:firstLine="1505"/>
        <w:spacing w:after="0" w:line="259" w:lineRule="auto"/>
        <w:tabs>
          <w:tab w:leader="none" w:pos="1893"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Indebtedness bears a floating rate of interest and is being given pro forma effect, the interest on such Indebtedness shall be calculated as if the rate in effect on the date of the event for which the calculation of the Interest Coverage Ratio is made had been the applicable rate for the entire period. Interest on a Capitalized Lease Obligation shall be deemed to accrue at an interest rate reasonably determined by a Financial Officer of the Borrower to be the rate of interest implicit in such Capitalized Lease Obligation in accordance with GAAP.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Borrower or applicable Restricted Subsidiary may designate.</w:t>
      </w:r>
    </w:p>
    <w:p>
      <w:pPr>
        <w:spacing w:after="0" w:line="172" w:lineRule="exact"/>
        <w:rPr>
          <w:rFonts w:ascii="Times New Roman" w:cs="Times New Roman" w:eastAsia="Times New Roman" w:hAnsi="Times New Roman"/>
          <w:sz w:val="19"/>
          <w:szCs w:val="19"/>
          <w:color w:val="auto"/>
        </w:rPr>
      </w:pPr>
    </w:p>
    <w:p>
      <w:pPr>
        <w:ind w:firstLine="1505"/>
        <w:spacing w:after="0" w:line="266" w:lineRule="auto"/>
        <w:tabs>
          <w:tab w:leader="none" w:pos="1893"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or in any classification under GAAP of any Person, business, assets or operations in respect of which a definitive agreement for the disposition thereof has been entered into, at the election of the Borrower, no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shall be given to any discontinued operations (and the Consolidated EBITDA attributable to any such Person, business, assets or operations shall not be excluded for any purposes hereunder) until such disposition shall have been consummated.</w:t>
      </w:r>
    </w:p>
    <w:p>
      <w:pPr>
        <w:spacing w:after="0" w:line="165" w:lineRule="exact"/>
        <w:rPr>
          <w:rFonts w:ascii="Times New Roman" w:cs="Times New Roman" w:eastAsia="Times New Roman" w:hAnsi="Times New Roman"/>
          <w:sz w:val="19"/>
          <w:szCs w:val="19"/>
          <w:color w:val="auto"/>
        </w:rPr>
      </w:pPr>
    </w:p>
    <w:p>
      <w:pPr>
        <w:jc w:val="both"/>
        <w:ind w:right="100" w:firstLine="1505"/>
        <w:spacing w:after="0" w:line="254" w:lineRule="auto"/>
        <w:tabs>
          <w:tab w:leader="none" w:pos="189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of Total Assets shall be made by reference to the last day of the Test Period most recently ended for which internal financial statements of the Borrower are available and have been delivered to the Administrative Agent (as determined in good faith by the Borrower) on or prior to the relevant date of determination.</w:t>
      </w:r>
    </w:p>
    <w:p>
      <w:pPr>
        <w:spacing w:after="0" w:line="174" w:lineRule="exact"/>
        <w:rPr>
          <w:rFonts w:ascii="Times New Roman" w:cs="Times New Roman" w:eastAsia="Times New Roman" w:hAnsi="Times New Roman"/>
          <w:sz w:val="20"/>
          <w:szCs w:val="20"/>
          <w:color w:val="auto"/>
        </w:rPr>
      </w:pPr>
    </w:p>
    <w:p>
      <w:pPr>
        <w:ind w:right="40" w:firstLine="1505"/>
        <w:spacing w:after="0" w:line="241" w:lineRule="auto"/>
        <w:tabs>
          <w:tab w:leader="none" w:pos="189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or any Loan Document to the contrary, in the event any Lien, Indebtedness (including any Incremental Loans, Incremental Commitments, Permitted Incremental Equivalent Debt, Other Loans or Other Commitments), Disqualified Stock, Preferred Stock, Asset Sale, Investment, Restricted Payment, or other transaction, action, judgment or amount incurred under any provision in this Agreement or any other Loan Document (or any of the foregoing in concurrent transactions, a single transaction or a series of related transactions) meets the criteria of one or more than one of the categories of Baskets under this Agreement (including within any defined terms), including any Fixed Basket or Non-Fixed Basket, as applicable, the Borrower shall be permitted, in its sole discretion, to divide and classify and to later, at any time and from time to time, re-divide and re-classify (including to re-classify utilization of any Fixed Basket as being incurred under any Non-Fixed Basket or other Fixed Basket or utilization of any Non-Fixed Basket as being incurred under any Fixed Basket or other Non-Fixed Basket) on one or more occasions (based on circumstances existing on the date of any such re-division and re-classification) any such Lien, Indebtedness, Disqualified Stock, Preferred Stock, Asset Sale, Investment, Restricted Payment, or other transaction, action, judgment or amount, in whole or in part, among one or more than one applicable Baskets under this Agreement within the same covenant (other than with respect to re-classification of Restricted Payments to Indebtedness pursuant to </w:t>
      </w:r>
      <w:r>
        <w:rPr>
          <w:rFonts w:ascii="Times New Roman" w:cs="Times New Roman" w:eastAsia="Times New Roman" w:hAnsi="Times New Roman"/>
          <w:sz w:val="20"/>
          <w:szCs w:val="20"/>
          <w:u w:val="single" w:color="auto"/>
          <w:color w:val="auto"/>
        </w:rPr>
        <w:t>Section 7.02(1)(gg)</w:t>
      </w:r>
      <w:r>
        <w:rPr>
          <w:rFonts w:ascii="Times New Roman" w:cs="Times New Roman" w:eastAsia="Times New Roman" w:hAnsi="Times New Roman"/>
          <w:sz w:val="20"/>
          <w:szCs w:val="20"/>
          <w:color w:val="auto"/>
        </w:rPr>
        <w:t>) (in the case of re-classification or re-division, so long as the amount so re-classified or re-divided is permitted at the time of such re-classification or re-division to be incurred pursuant to the applicable Basket into which such amount is re-classified or re-divided at such time). For the avoidance of doubt, the amount of any Lien, Indebtedness, Disqualified Stock, Preferred Stock, Asset Sale, Investment, Restricted Payment or other transaction, action, judgment or amount that shall be allocated to each such Basket shall be determined by the Borrower at the time of such division, classification, re-division or re-classification, as applicable. If any Lien, Indebtedness (including any Incremental Loans, Incremental Commitments, Permitted Incremental</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07" w:name="page208"/>
    <w:bookmarkEnd w:id="207"/>
    <w:p>
      <w:pPr>
        <w:spacing w:after="0" w:line="242" w:lineRule="auto"/>
        <w:rPr>
          <w:sz w:val="20"/>
          <w:szCs w:val="20"/>
          <w:color w:val="auto"/>
        </w:rPr>
      </w:pPr>
      <w:r>
        <w:rPr>
          <w:rFonts w:ascii="Times New Roman" w:cs="Times New Roman" w:eastAsia="Times New Roman" w:hAnsi="Times New Roman"/>
          <w:sz w:val="20"/>
          <w:szCs w:val="20"/>
          <w:color w:val="auto"/>
        </w:rPr>
        <w:t xml:space="preserve">Equivalent Debt, Other Loans or Other Commitments), Disqualified Stock, Preferred Stock, Asset Sale, Investment, Restricted Payment, or other transaction, action, judgment or amount incurred under any provision in this Agreement or any other Loan Document (or any portion of the foregoing) previously divided and classified (or re-divided and re-classified) as set forth above under any Fixed Basket, could subsequently be re-divided and re-classified under a Non-Fixed Basket, such re-division and re-classification shall be deemed to occur automatically, in each case, unless otherwise elected by the Borrower. Notwithstanding the foregoing, any Indebtedness incurred under this Agreement (including on the Closing Date) will, at all times, be classified as being incurred under </w:t>
      </w:r>
      <w:r>
        <w:rPr>
          <w:rFonts w:ascii="Times New Roman" w:cs="Times New Roman" w:eastAsia="Times New Roman" w:hAnsi="Times New Roman"/>
          <w:sz w:val="20"/>
          <w:szCs w:val="20"/>
          <w:u w:val="single" w:color="auto"/>
          <w:color w:val="auto"/>
        </w:rPr>
        <w:t>Section 7.02(2)(a)</w:t>
      </w:r>
      <w:r>
        <w:rPr>
          <w:rFonts w:ascii="Times New Roman" w:cs="Times New Roman" w:eastAsia="Times New Roman" w:hAnsi="Times New Roman"/>
          <w:sz w:val="20"/>
          <w:szCs w:val="20"/>
          <w:color w:val="auto"/>
        </w:rPr>
        <w:t xml:space="preserve"> and may not be re-classified. For all purposes hereunder, (x) “</w:t>
      </w:r>
      <w:r>
        <w:rPr>
          <w:rFonts w:ascii="Times New Roman" w:cs="Times New Roman" w:eastAsia="Times New Roman" w:hAnsi="Times New Roman"/>
          <w:sz w:val="20"/>
          <w:szCs w:val="20"/>
          <w:b w:val="1"/>
          <w:bCs w:val="1"/>
          <w:color w:val="auto"/>
        </w:rPr>
        <w:t>Fixed Basket</w:t>
      </w:r>
      <w:r>
        <w:rPr>
          <w:rFonts w:ascii="Times New Roman" w:cs="Times New Roman" w:eastAsia="Times New Roman" w:hAnsi="Times New Roman"/>
          <w:sz w:val="20"/>
          <w:szCs w:val="20"/>
          <w:color w:val="auto"/>
        </w:rPr>
        <w:t>” shall mean any Basket that is subject to a fixed-dollar limit (including Baskets based on a percentage of Consolidated EBITDA or Total Assets) and (y) “</w:t>
      </w:r>
      <w:r>
        <w:rPr>
          <w:rFonts w:ascii="Times New Roman" w:cs="Times New Roman" w:eastAsia="Times New Roman" w:hAnsi="Times New Roman"/>
          <w:sz w:val="20"/>
          <w:szCs w:val="20"/>
          <w:b w:val="1"/>
          <w:bCs w:val="1"/>
          <w:color w:val="auto"/>
        </w:rPr>
        <w:t>Non-Fixed Basket</w:t>
      </w:r>
      <w:r>
        <w:rPr>
          <w:rFonts w:ascii="Times New Roman" w:cs="Times New Roman" w:eastAsia="Times New Roman" w:hAnsi="Times New Roman"/>
          <w:sz w:val="20"/>
          <w:szCs w:val="20"/>
          <w:color w:val="auto"/>
        </w:rPr>
        <w:t>” shall mean any Basket that is subject to compliance with a financial ratio or test (including the Interest Coverage Ratio, the First Lien Net Leverage Ratio, the Secured Net Leverage Ratio or the Total Net Leverage Ratio) (any such ratio or test, a “</w:t>
      </w:r>
      <w:r>
        <w:rPr>
          <w:rFonts w:ascii="Times New Roman" w:cs="Times New Roman" w:eastAsia="Times New Roman" w:hAnsi="Times New Roman"/>
          <w:sz w:val="20"/>
          <w:szCs w:val="20"/>
          <w:b w:val="1"/>
          <w:bCs w:val="1"/>
          <w:color w:val="auto"/>
        </w:rPr>
        <w:t>Financial Incurrence Test</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right="80" w:firstLine="1505"/>
        <w:spacing w:after="0" w:line="243" w:lineRule="auto"/>
        <w:tabs>
          <w:tab w:leader="none" w:pos="189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or any Loan Document to the contrary, in calculating any Non-Fixed Basket (a) any Indebtedness concurrently incurred to fund original issue discount or upfront fees and (b) any amounts incurred, or transactions entered into or consummated, in reliance on a Fixed Basket (including the Free and Clear Incremental Amount) in a concurrent transaction, a single transaction or a series of related transactions with the amount incurred, or transaction entered into or consummated, under an applicable Non-Fixed Basket, in each case of the foregoing clauses (a) and (b), shall be disregarded in the calculation of such Non-Fixed Basket;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full pro forma effect shall be given to all applicable and related transactions (including the use of proceeds of all applicable Indebtedness incurred and any repayments, repurchases and redemptions of Indebtedness) and all other adjustments as to which pro forma effect may be given under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(this clause (9), the “</w:t>
      </w:r>
      <w:r>
        <w:rPr>
          <w:rFonts w:ascii="Times New Roman" w:cs="Times New Roman" w:eastAsia="Times New Roman" w:hAnsi="Times New Roman"/>
          <w:sz w:val="20"/>
          <w:szCs w:val="20"/>
          <w:b w:val="1"/>
          <w:bCs w:val="1"/>
          <w:color w:val="auto"/>
        </w:rPr>
        <w:t>Stacking Provision</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right="100" w:firstLine="1505"/>
        <w:spacing w:after="0" w:line="242" w:lineRule="auto"/>
        <w:tabs>
          <w:tab w:leader="none" w:pos="189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Lien, Indebtedness, Disqualified Stock, Preferred Stock, Asset Sale, Investment, Restricted Payment, or other transaction, action, judgment or amount (any of the foregoing in concurrent transactions, a single transaction or a series of related transactions) is incurred, issued, taken or consummated in reliance on categories of Baskets measured by reference to a percentage of Consolidated EBITDA, and any Lien, Indebtedness, Disqualified Stock, Preferred Stock, Asset Sale, Investment, Restricted Payment, or other transaction, action, judgment or amount (including in connection with refinancing thereof) would subsequently exceed the applicable percentage of Consolidated EBITDA if calculated based on the Consolidated EBITDA on a later date (including the date of any refinancing or re-classification), such percentage of Consolidated EBITDA will be deemed not to be exceeded (so long as, in the case of refinancing any Indebtedness, Disqualified Stock or Preferred Stock (and any related Lien), the principal amount or the liquidation preference of such newly incurred or issued Indebtedness, Disqualified Stock or Preferred Stock does not exceed the maximum principal amount, liquidation preference or amount of Refinancing Indebtedness in respect of the Indebtedness, Disqualified Stock or Preferred Stock being refinanced, extended, replaced, refunded, renewed or defeased).</w:t>
      </w:r>
    </w:p>
    <w:p>
      <w:pPr>
        <w:spacing w:after="0" w:line="189" w:lineRule="exact"/>
        <w:rPr>
          <w:rFonts w:ascii="Times New Roman" w:cs="Times New Roman" w:eastAsia="Times New Roman" w:hAnsi="Times New Roman"/>
          <w:sz w:val="20"/>
          <w:szCs w:val="20"/>
          <w:color w:val="auto"/>
        </w:rPr>
      </w:pPr>
    </w:p>
    <w:p>
      <w:pPr>
        <w:ind w:firstLine="1505"/>
        <w:spacing w:after="0" w:line="243" w:lineRule="auto"/>
        <w:tabs>
          <w:tab w:leader="none" w:pos="189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or any Loan Document to the contrary, when (a) calculating any applicable Financial Incurrence Test, or availability under any Basket, in connection with the incurrence of any Limited Condition Transaction, any Indebtedness or any other transaction in connection with a Limited Condition Transaction and any actions or transactions related thereto (including for all purposes under this </w:t>
      </w:r>
      <w:r>
        <w:rPr>
          <w:rFonts w:ascii="Times New Roman" w:cs="Times New Roman" w:eastAsia="Times New Roman" w:hAnsi="Times New Roman"/>
          <w:sz w:val="20"/>
          <w:szCs w:val="20"/>
          <w:u w:val="single" w:color="auto"/>
          <w:color w:val="auto"/>
        </w:rPr>
        <w:t>clause (11)</w:t>
      </w:r>
      <w:r>
        <w:rPr>
          <w:rFonts w:ascii="Times New Roman" w:cs="Times New Roman" w:eastAsia="Times New Roman" w:hAnsi="Times New Roman"/>
          <w:sz w:val="20"/>
          <w:szCs w:val="20"/>
          <w:color w:val="auto"/>
        </w:rPr>
        <w:t>, the making of acquisitions and investments, Asset Sales or other dispositions, the incurrence or issuance of Indebtedness, Disqualified Stock or Preferred Stock and the use of proceeds thereof, the incurrence of Liens, repayments of Indebtedness, the making of Restricted Payments and/or the designation of a Subsidiary as a Restricted Subsidiary or an Unrestricted Subsidiary), (b) determining (i) compliance with any provision of this Agreement which requires that no Default or Event of Default (or any type of Default or Event of Default) has occurred, 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08" w:name="page209"/>
    <w:bookmarkEnd w:id="208"/>
    <w:p>
      <w:pPr>
        <w:spacing w:after="0" w:line="253" w:lineRule="auto"/>
        <w:rPr>
          <w:sz w:val="20"/>
          <w:szCs w:val="20"/>
          <w:color w:val="auto"/>
        </w:rPr>
      </w:pPr>
      <w:r>
        <w:rPr>
          <w:rFonts w:ascii="Times New Roman" w:cs="Times New Roman" w:eastAsia="Times New Roman" w:hAnsi="Times New Roman"/>
          <w:sz w:val="19"/>
          <w:szCs w:val="19"/>
          <w:color w:val="auto"/>
        </w:rPr>
        <w:t xml:space="preserve">continuing or would result therefrom, (ii) compliance with any provision of this Agreement which requires compliance with any representations and warranties set forth or referenced herein or (iii) the satisfaction of any other conditions, in each case under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in connection with the incurrence of any Limited Condition Transaction, any Indebtedness or any other transaction in connection with a Limited Condition Transaction and any actions or transactions related thereto, in each case under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the date of determination of such Financial Incurrence Test, availability under any Basket or other provisions, determination of whether any Default or Event of Default (or any type of Default or Event of Default) has occurred, is continuing or would result therefrom, determination of compliance with any representations or warranties or the satisfaction of any other conditions shall, at the option of the Borrower (in its sole discretion) (the Borrower’s election to exercise such option, an “</w:t>
      </w:r>
      <w:r>
        <w:rPr>
          <w:rFonts w:ascii="Times New Roman" w:cs="Times New Roman" w:eastAsia="Times New Roman" w:hAnsi="Times New Roman"/>
          <w:sz w:val="19"/>
          <w:szCs w:val="19"/>
          <w:b w:val="1"/>
          <w:bCs w:val="1"/>
          <w:color w:val="auto"/>
        </w:rPr>
        <w:t>LCT Election</w:t>
      </w:r>
      <w:r>
        <w:rPr>
          <w:rFonts w:ascii="Times New Roman" w:cs="Times New Roman" w:eastAsia="Times New Roman" w:hAnsi="Times New Roman"/>
          <w:sz w:val="19"/>
          <w:szCs w:val="19"/>
          <w:color w:val="auto"/>
        </w:rPr>
        <w:t xml:space="preserve">,” which LCT Election may be in respect of one or 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b)(i)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(b)(iii)</w:t>
      </w:r>
      <w:r>
        <w:rPr>
          <w:rFonts w:ascii="Times New Roman" w:cs="Times New Roman" w:eastAsia="Times New Roman" w:hAnsi="Times New Roman"/>
          <w:sz w:val="19"/>
          <w:szCs w:val="19"/>
          <w:color w:val="auto"/>
        </w:rPr>
        <w:t xml:space="preserve"> above), be deemed to be (I) any of the date the definitive agreements (or other relevant definitive documentation) for such Limited Condition Transaction, Indebtedness or other transaction in connection with such Limited Condition Transaction or action or transaction related thereto, as applicable, are entered into (including, at the Borrower’s option, any amendment entered into in connection therewith) (or, (A) in the case of any redemption, repurchase, defeasance, satisfaction and discharge or repayment of Indebtedness, the date on which notice with respect to such Limited Condition Transactions is sent, (B) in the case of any Restricted Payment, the date of declaration thereof and (C) in the case of any other action or transaction, any similar event) (provided that, solely in connection with an acquisition to which the United Kingdom City Code on Takeovers and Mergers applies, at the option of the Borrower, the “LCT Test Date” shall be deemed to be the date on which a “Rule 2.7 announcement” of a firm intention to make an offer (or equivalent announcement in another jurisdiction) is made or delivered in respect of a target of a Limited Condition Transaction) or (II) the time of funding of any of the applicable Indebtedness or consummation of such Limited Condition Transaction or other transaction in connection therewith or action or transaction related thereto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LCT Election made under the foregoing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the Borrower may elect (in its sole discretion) to re-determine one or 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b)(i)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(b)(iii)</w:t>
      </w:r>
      <w:r>
        <w:rPr>
          <w:rFonts w:ascii="Times New Roman" w:cs="Times New Roman" w:eastAsia="Times New Roman" w:hAnsi="Times New Roman"/>
          <w:sz w:val="19"/>
          <w:szCs w:val="19"/>
          <w:color w:val="auto"/>
        </w:rPr>
        <w:t xml:space="preserve"> above at the time of funding of any of the applicable Indebtedness or consummation of such Limited Condition Transaction or other transaction in connection therewith or action or transaction related thereto (and/or, if earlier, at the option of the Borrower, any delivery of financial statements prior to the funding or consummation)) (such date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LCT Test Date</w:t>
      </w:r>
      <w:r>
        <w:rPr>
          <w:rFonts w:ascii="Times New Roman" w:cs="Times New Roman" w:eastAsia="Times New Roman" w:hAnsi="Times New Roman"/>
          <w:sz w:val="19"/>
          <w:szCs w:val="19"/>
          <w:color w:val="auto"/>
        </w:rPr>
        <w:t xml:space="preserve">”) and, subject to the other provisions of this </w:t>
      </w:r>
      <w:r>
        <w:rPr>
          <w:rFonts w:ascii="Times New Roman" w:cs="Times New Roman" w:eastAsia="Times New Roman" w:hAnsi="Times New Roman"/>
          <w:sz w:val="19"/>
          <w:szCs w:val="19"/>
          <w:u w:val="single" w:color="auto"/>
          <w:color w:val="auto"/>
        </w:rPr>
        <w:t>Section</w:t>
      </w:r>
    </w:p>
    <w:p>
      <w:pPr>
        <w:spacing w:after="0" w:line="23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u w:val="single" w:color="auto"/>
          <w:color w:val="auto"/>
        </w:rPr>
        <w:t>1.07(11)</w:t>
      </w:r>
      <w:r>
        <w:rPr>
          <w:rFonts w:ascii="Times New Roman" w:cs="Times New Roman" w:eastAsia="Times New Roman" w:hAnsi="Times New Roman"/>
          <w:sz w:val="20"/>
          <w:szCs w:val="20"/>
          <w:color w:val="auto"/>
        </w:rPr>
        <w:t xml:space="preserve">, if, after giving pro forma effect to the Limited Condition Transaction, any Indebtedness or other transaction in connection therewith and any actions or transactions related thereto and any related pro forma adjustments, the Borrower or any of its Restricted Subsidiaries would have been permitted to take such actions or consummate such transactions on the relevant LCT Test Date in compliance with such Basket (and any related requirements and conditions), such Basket (and any related requirements and conditions) shall be deemed to have been complied with (or satisfied) for all purposes;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if financial statements for one or more subsequent fiscal quarters shall have become available, the Borrower may elect, in its sole discretion, to re-determine availability under Baskets on the basis of such financial statements, in which case, such date of redetermination shall thereafter be deemed to be the applicable LCT Test Date for purposes of such Basket and (y) except as contemplated in the foregoing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compliance with such Baskets (and any related requirements and conditions) shall not be determined or tested at any time after the applicable LCT Test Date for such Limited Condition Transaction, any Indebtedness or other transaction incurred in connection therewith and any actions or transactions related thereto.</w:t>
      </w:r>
    </w:p>
    <w:p>
      <w:pPr>
        <w:spacing w:after="0" w:line="189" w:lineRule="exact"/>
        <w:rPr>
          <w:sz w:val="20"/>
          <w:szCs w:val="20"/>
          <w:color w:val="auto"/>
        </w:rPr>
      </w:pPr>
    </w:p>
    <w:p>
      <w:pPr>
        <w:ind w:right="300" w:firstLine="1505"/>
        <w:spacing w:after="0" w:line="246" w:lineRule="auto"/>
        <w:tabs>
          <w:tab w:leader="none" w:pos="1893"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if the Borrower has made an LCT Election, (a) if any of the ratios, tests or baskets for which compliance was determined or tested as of the LCT Test Date would at any time after the LCT Test Date have been exceeded or otherwise failed to have been complied with as a result of fluctuations in any such Financial Incurrence Test or Basket, including due to fluctuations in EBITDA or total assets of the Borrower or the Person subject to such Limited Condition Transaction, such baskets, tests or ratios will be deemed not to have been exceeded or failed to have been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9" w:name="page210"/>
    <w:bookmarkEnd w:id="209"/>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complied with as a result of such fluctuations, (b) other than as expressly set forth in </w:t>
      </w:r>
      <w:r>
        <w:rPr>
          <w:rFonts w:ascii="Times New Roman" w:cs="Times New Roman" w:eastAsia="Times New Roman" w:hAnsi="Times New Roman"/>
          <w:sz w:val="20"/>
          <w:szCs w:val="20"/>
          <w:u w:val="single" w:color="auto"/>
          <w:color w:val="auto"/>
        </w:rPr>
        <w:t>clause (11)</w:t>
      </w:r>
      <w:r>
        <w:rPr>
          <w:rFonts w:ascii="Times New Roman" w:cs="Times New Roman" w:eastAsia="Times New Roman" w:hAnsi="Times New Roman"/>
          <w:sz w:val="20"/>
          <w:szCs w:val="20"/>
          <w:color w:val="auto"/>
        </w:rPr>
        <w:t>, if any related requirements and conditions (including as to the absence of any (or any type of) continuing Default or Event of Default and satisfaction of any representations and warranties) for which compliance or satisfaction was determined or tested as of the LCT Test Date would at any time after the LCT Test Date not have been complied with or satisfied (including due to the occurrence or continuation of any Default or Event of Default or failure to satisfy any representations and warranties), such requirements and conditions will be deemed not to have been failed to be complied with or satisfied (and such Default or Event of Default shall be deemed not to have occurred or be continuing and such representations and warranties shall be deemed to have been satisfied) and (c) in calculating the availability under any Financial Incurrence Test or Basket in connection with any action or transaction following the relevant LCT Test Date and prior to the earlier of the date on which such Limited Condition Transaction is consummated or the date that the definitive agreement or date for redemption, purchase or repayment specified in an irrevocable notice or declaration for such Limited Condition Transaction is terminated, expires or passes, as applicable, without consummation of such Limited Condition Transaction, any such Financial Incurrence Test or Basket shall be determined or tested (x) giving pro forma effect to such Limited Condition Transaction and any actions or transactions related thereto and (y) solely with respect to Restricted Payments (other than Restricted Investments), without giving pro forma effect to such Limited Condition Transaction and any actions or transactions related thereto. Notwithstanding anything to the contrary set forth in clause (11) directly above and this clause (12), no Event of Default under Section 8.01(1) or 8.01(6) shall be continuing at the time any Limited Condition Transaction is consummated.</w:t>
      </w:r>
    </w:p>
    <w:p>
      <w:pPr>
        <w:spacing w:after="0" w:line="194" w:lineRule="exact"/>
        <w:rPr>
          <w:sz w:val="20"/>
          <w:szCs w:val="20"/>
          <w:color w:val="auto"/>
        </w:rPr>
      </w:pPr>
    </w:p>
    <w:p>
      <w:pPr>
        <w:ind w:left="1900" w:hanging="395"/>
        <w:spacing w:after="0"/>
        <w:tabs>
          <w:tab w:leader="none" w:pos="19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permissibility of any action, change, transaction or event that requires a calculation</w:t>
      </w:r>
    </w:p>
    <w:p>
      <w:pPr>
        <w:spacing w:after="0" w:line="21" w:lineRule="exact"/>
        <w:rPr>
          <w:rFonts w:ascii="Times New Roman" w:cs="Times New Roman" w:eastAsia="Times New Roman" w:hAnsi="Times New Roman"/>
          <w:sz w:val="20"/>
          <w:szCs w:val="20"/>
          <w:color w:val="auto"/>
        </w:rPr>
      </w:pPr>
    </w:p>
    <w:p>
      <w:pPr>
        <w:ind w:righ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financial ratio or financial test (including Section‎ 7.10 hereof, any Interest Coverage Ratio test, any First Lien Net Leverage Ratio test, any Secured Net Leverage Ratio test and/or any Total Net Leverage Ratio test) and/or the amount of Consolidated EBITDA or Consolidated Net Income, such financial ratio, financial test or amount shall, subject to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-755015</wp:posOffset>
            </wp:positionV>
            <wp:extent cx="62801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7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1.08 Available Amount Transaction. If more than one action occurs on any given date the permissibility of the taking of which is determined hereunder by reference to the amount specified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immediately prior to the taking of such action, the permissibility of the taking of each such action shall be determined independently and in no event may any two or more such actions be treated as occurring simultaneously, i.e., each transaction must be permitted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as so calculated.</w:t>
      </w:r>
    </w:p>
    <w:p>
      <w:pPr>
        <w:spacing w:after="0" w:line="185" w:lineRule="exact"/>
        <w:rPr>
          <w:sz w:val="20"/>
          <w:szCs w:val="20"/>
          <w:color w:val="auto"/>
        </w:rPr>
      </w:pPr>
    </w:p>
    <w:p>
      <w:pPr>
        <w:ind w:right="260" w:firstLine="1497"/>
        <w:spacing w:after="0" w:line="249" w:lineRule="auto"/>
        <w:rPr>
          <w:sz w:val="20"/>
          <w:szCs w:val="20"/>
          <w:color w:val="auto"/>
        </w:rPr>
      </w:pPr>
      <w:r>
        <w:rPr>
          <w:rFonts w:ascii="Times New Roman" w:cs="Times New Roman" w:eastAsia="Times New Roman" w:hAnsi="Times New Roman"/>
          <w:sz w:val="20"/>
          <w:szCs w:val="20"/>
          <w:color w:val="auto"/>
        </w:rPr>
        <w:t>SECTION 1.09 Guaranties of Hedging Obligations. Notwithstanding anything else to the contrary in any Loan Document, no non-Qualified ECP Guarantor shall be required to guarantee or provide security for Excluded Swap Obligations, and any reference in any Loan Document with respect to such non-Qualified ECP Guarantor guaranteeing or providing security for the Obligations shall be deemed to be all Obligations other than the Excluded Swap Obligations.</w:t>
      </w:r>
    </w:p>
    <w:p>
      <w:pPr>
        <w:spacing w:after="0" w:line="18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1.10</w:t>
      </w:r>
      <w:r>
        <w:rPr>
          <w:sz w:val="20"/>
          <w:szCs w:val="20"/>
          <w:color w:val="auto"/>
        </w:rPr>
        <w:tab/>
      </w:r>
      <w:r>
        <w:rPr>
          <w:rFonts w:ascii="Times New Roman" w:cs="Times New Roman" w:eastAsia="Times New Roman" w:hAnsi="Times New Roman"/>
          <w:sz w:val="19"/>
          <w:szCs w:val="19"/>
          <w:color w:val="auto"/>
        </w:rPr>
        <w:t>Currency Generally.</w:t>
      </w:r>
    </w:p>
    <w:p>
      <w:pPr>
        <w:spacing w:after="0" w:line="216" w:lineRule="exact"/>
        <w:rPr>
          <w:sz w:val="20"/>
          <w:szCs w:val="20"/>
          <w:color w:val="auto"/>
        </w:rPr>
      </w:pPr>
    </w:p>
    <w:p>
      <w:pPr>
        <w:ind w:right="20" w:firstLine="1505"/>
        <w:spacing w:after="0" w:line="254" w:lineRule="auto"/>
        <w:tabs>
          <w:tab w:leader="none" w:pos="1893"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determine in good faith the Dollar equivalent amount of any utilization or other measurement denominated in a currency other than Dollars for purposes of compliance with any Basket. For purposes of determining compliance with any Basket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with</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0" w:name="page211"/>
    <w:bookmarkEnd w:id="210"/>
    <w:p>
      <w:pPr>
        <w:spacing w:after="0" w:line="245" w:lineRule="auto"/>
        <w:rPr>
          <w:sz w:val="20"/>
          <w:szCs w:val="20"/>
          <w:color w:val="auto"/>
        </w:rPr>
      </w:pPr>
      <w:r>
        <w:rPr>
          <w:rFonts w:ascii="Times New Roman" w:cs="Times New Roman" w:eastAsia="Times New Roman" w:hAnsi="Times New Roman"/>
          <w:sz w:val="20"/>
          <w:szCs w:val="20"/>
          <w:color w:val="auto"/>
        </w:rPr>
        <w:t>respect to any amount expressed in a currency other than Dollars, no Default shall be deemed to have occurred solely as a result of changes in rates of currency exchange occurring after the time such Basket utilization occurs or other Basket measurement is made (so long as such Basket utilization or other measurement, at the time incurred, made or acquired, was permitted hereunder). Except with respect to any ratio calculated under any Basket, any subsequent change in rates of currency exchange with respect to any prior utilization or other measurement of a Basket previously made in reliance on such Basket (as the same may have been reallocated in accordance with this Agreement) shall be disregarded for purposes of determining any unutilized portion under such Basket.</w:t>
      </w:r>
    </w:p>
    <w:p>
      <w:pPr>
        <w:spacing w:after="0" w:line="184" w:lineRule="exact"/>
        <w:rPr>
          <w:sz w:val="20"/>
          <w:szCs w:val="20"/>
          <w:color w:val="auto"/>
        </w:rPr>
      </w:pPr>
    </w:p>
    <w:p>
      <w:pPr>
        <w:ind w:right="180" w:firstLine="1505"/>
        <w:spacing w:after="0" w:line="249" w:lineRule="auto"/>
        <w:tabs>
          <w:tab w:leader="none" w:pos="1893"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First Lien Net Leverage Ratio, the Secured Net Leverage Ratio and the Total Net Leverage Ratio, the amount of Indebtedness and cash and Cash Equivalents shall reflect the currency translation effects, determined in accordance with GAAP, of Hedging Obligations permitted hereunder for currency exchange risks with respect to the applicable currency in effect on the date of determination of the Dollar equivalent of such Indebtedness.</w:t>
      </w:r>
    </w:p>
    <w:p>
      <w:pPr>
        <w:spacing w:after="0" w:line="180" w:lineRule="exact"/>
        <w:rPr>
          <w:sz w:val="20"/>
          <w:szCs w:val="20"/>
          <w:color w:val="auto"/>
        </w:rPr>
      </w:pPr>
    </w:p>
    <w:p>
      <w:pPr>
        <w:ind w:right="2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1.11 Letters of Credit. Unless otherwise specified herein, the amount of a Letter of Credit at any time shall be deemed to be the maximum amount available to be drawn under such Letter of Credit in effect at such time (not to exceed the stated amount of such Letter of Credit in effect at such time after giving effect to any automatic reductions or increases, as applicable, to such stated amount pursuant to the terms of the applicable Letter of Credit after the occurrence of any applicable condition (including the expiration of any applicable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 respect to any Letter of Credit that, by its terms or the terms of any L/C Application related thereto, provides for one or more automatic increases in the stated amount thereof, the stated amount of such Letter of Credit shall be deemed to be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19"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1.12</w:t>
      </w:r>
      <w:r>
        <w:rPr>
          <w:sz w:val="20"/>
          <w:szCs w:val="20"/>
          <w:color w:val="auto"/>
        </w:rPr>
        <w:tab/>
      </w:r>
      <w:r>
        <w:rPr>
          <w:rFonts w:ascii="Times New Roman" w:cs="Times New Roman" w:eastAsia="Times New Roman" w:hAnsi="Times New Roman"/>
          <w:sz w:val="19"/>
          <w:szCs w:val="19"/>
          <w:color w:val="auto"/>
        </w:rPr>
        <w:t>Term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-10795</wp:posOffset>
            </wp:positionV>
            <wp:extent cx="100520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1">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96" w:lineRule="exact"/>
        <w:rPr>
          <w:sz w:val="20"/>
          <w:szCs w:val="20"/>
          <w:color w:val="auto"/>
        </w:rPr>
      </w:pPr>
    </w:p>
    <w:p>
      <w:pPr>
        <w:ind w:left="1900" w:hanging="395"/>
        <w:spacing w:after="0"/>
        <w:tabs>
          <w:tab w:leader="none" w:pos="190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the other Loan Documents:</w:t>
      </w:r>
    </w:p>
    <w:p>
      <w:pPr>
        <w:spacing w:after="0" w:line="215" w:lineRule="exact"/>
        <w:rPr>
          <w:rFonts w:ascii="Times New Roman" w:cs="Times New Roman" w:eastAsia="Times New Roman" w:hAnsi="Times New Roman"/>
          <w:sz w:val="20"/>
          <w:szCs w:val="20"/>
          <w:color w:val="auto"/>
        </w:rPr>
      </w:pPr>
    </w:p>
    <w:p>
      <w:pPr>
        <w:ind w:right="80" w:firstLine="1880"/>
        <w:spacing w:after="0" w:line="243" w:lineRule="auto"/>
        <w:tabs>
          <w:tab w:leader="none" w:pos="226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occurrence of a Benchmark Transition Event, the Administrative Agent and the Borrower may amend this Agreement to replace the then-current Benchmark for all purposes hereunder and under any Loan Document with a Benchmark Replacement. Any such amendment with respect to a Benchmark Transition Event will become effective at 5:00 p.m. (New York City time) on the fifth (5th) Business Day after the Administrative Agent has posted notice of such proposed amendment to all Lenders and the Borrower, so long as the Administrative Agent has not received, by such time, written notice of objection to such Benchmark Replacement from the Required Lenders stating that such Benchmark Replacement does not constitute a replacement index rate that is widely adopted in the leveraged syndicated loan market (and any such objections shall be conclusive and binding absent manifest error). No replacement of a Benchmark with a Benchmark Replacement pursuant to this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85" w:lineRule="exact"/>
        <w:rPr>
          <w:rFonts w:ascii="Times New Roman" w:cs="Times New Roman" w:eastAsia="Times New Roman" w:hAnsi="Times New Roman"/>
          <w:sz w:val="20"/>
          <w:szCs w:val="20"/>
          <w:color w:val="auto"/>
        </w:rPr>
      </w:pPr>
    </w:p>
    <w:p>
      <w:pPr>
        <w:ind w:right="240" w:firstLine="1880"/>
        <w:spacing w:after="0" w:line="249" w:lineRule="auto"/>
        <w:tabs>
          <w:tab w:leader="none" w:pos="226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implementation and administration of a Benchmark Replacement, the Administrative Agent will have the right to make Benchmark Replacement Conforming Changes from time to time in consultation with the Borrower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1" w:name="page212"/>
    <w:bookmarkEnd w:id="211"/>
    <w:p>
      <w:pPr>
        <w:ind w:right="60" w:firstLine="1880"/>
        <w:spacing w:after="0" w:line="243" w:lineRule="auto"/>
        <w:tabs>
          <w:tab w:leader="none" w:pos="226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Borrower and the Lenders of (i) the implementation of any Benchmark Replacement and (ii) the effectiveness of any Benchmark Replacement Conforming Changes. The Administrative Agent will notify the Borrower of (i) the removal or reinstatement of any tenor of a Benchmark pursuant to Section 1.12(d) and (ii) the commencement of any Benchmark Unavailability Period. Any determination, decision or election that may be made by the Administrative Agent or the Borrower as expressly set forth in this Section 1.12(1) and the defined terms used herein,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1.12(1).</w:t>
      </w:r>
    </w:p>
    <w:p>
      <w:pPr>
        <w:spacing w:after="0" w:line="189" w:lineRule="exact"/>
        <w:rPr>
          <w:rFonts w:ascii="Times New Roman" w:cs="Times New Roman" w:eastAsia="Times New Roman" w:hAnsi="Times New Roman"/>
          <w:sz w:val="20"/>
          <w:szCs w:val="20"/>
          <w:color w:val="auto"/>
        </w:rPr>
      </w:pPr>
    </w:p>
    <w:p>
      <w:pPr>
        <w:ind w:firstLine="1880"/>
        <w:spacing w:after="0" w:line="242" w:lineRule="auto"/>
        <w:tabs>
          <w:tab w:leader="none" w:pos="226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9" w:lineRule="exact"/>
        <w:rPr>
          <w:rFonts w:ascii="Times New Roman" w:cs="Times New Roman" w:eastAsia="Times New Roman" w:hAnsi="Times New Roman"/>
          <w:sz w:val="20"/>
          <w:szCs w:val="20"/>
          <w:color w:val="auto"/>
        </w:rPr>
      </w:pPr>
    </w:p>
    <w:p>
      <w:pPr>
        <w:ind w:right="20" w:firstLine="1880"/>
        <w:spacing w:after="0" w:line="260" w:lineRule="auto"/>
        <w:tabs>
          <w:tab w:leader="none" w:pos="2268"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Upon the Borrower’s receipt of notice of the commencement of a Benchmark Unavailability Period, the Borrower may revoke any request for a Term Benchmark Rate Loan of, conversion to or continuation of Term Benchmark Rate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the then-current or such tenor for such Benchmark, as applicable, will not be used in any determination of Base Rate.</w:t>
      </w:r>
    </w:p>
    <w:p>
      <w:pPr>
        <w:spacing w:after="0" w:line="173" w:lineRule="exact"/>
        <w:rPr>
          <w:sz w:val="20"/>
          <w:szCs w:val="20"/>
          <w:color w:val="auto"/>
        </w:rPr>
      </w:pPr>
    </w:p>
    <w:p>
      <w:pPr>
        <w:ind w:right="220" w:firstLine="1497"/>
        <w:spacing w:after="0" w:line="246" w:lineRule="auto"/>
        <w:rPr>
          <w:sz w:val="20"/>
          <w:szCs w:val="20"/>
          <w:color w:val="auto"/>
        </w:rPr>
      </w:pPr>
      <w:r>
        <w:rPr>
          <w:rFonts w:ascii="Times New Roman" w:cs="Times New Roman" w:eastAsia="Times New Roman" w:hAnsi="Times New Roman"/>
          <w:sz w:val="20"/>
          <w:szCs w:val="20"/>
          <w:color w:val="auto"/>
        </w:rPr>
        <w:t>SECTION 1.13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The Commitments and Borrowings</w:t>
      </w:r>
    </w:p>
    <w:p>
      <w:pPr>
        <w:spacing w:after="0" w:line="22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color w:val="auto"/>
        </w:rPr>
        <w:t>The Loans.</w:t>
      </w:r>
    </w:p>
    <w:p>
      <w:pPr>
        <w:spacing w:after="0" w:line="216" w:lineRule="exact"/>
        <w:rPr>
          <w:sz w:val="20"/>
          <w:szCs w:val="20"/>
          <w:color w:val="auto"/>
        </w:rPr>
      </w:pPr>
    </w:p>
    <w:p>
      <w:pPr>
        <w:ind w:right="100" w:firstLine="1505"/>
        <w:spacing w:after="0" w:line="260" w:lineRule="auto"/>
        <w:tabs>
          <w:tab w:leader="none" w:pos="1893"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Borrowings</w:t>
      </w:r>
      <w:r>
        <w:rPr>
          <w:rFonts w:ascii="Times New Roman" w:cs="Times New Roman" w:eastAsia="Times New Roman" w:hAnsi="Times New Roman"/>
          <w:sz w:val="19"/>
          <w:szCs w:val="19"/>
          <w:color w:val="auto"/>
        </w:rPr>
        <w:t xml:space="preserve">. Subject to the terms and conditions set forth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hereof, each Term Lender severally agrees to make to the Borrower on the Closing Date one or more Closing Date Term Loans denominated in Dollars in an aggregate principal amount equal to such Term Lender’s Closing Date Term Loan Commitment on the Closing Date. Amounts borrowed under this </w:t>
      </w:r>
      <w:r>
        <w:rPr>
          <w:rFonts w:ascii="Times New Roman" w:cs="Times New Roman" w:eastAsia="Times New Roman" w:hAnsi="Times New Roman"/>
          <w:sz w:val="19"/>
          <w:szCs w:val="19"/>
          <w:u w:val="single" w:color="auto"/>
          <w:color w:val="auto"/>
        </w:rPr>
        <w:t>Section</w:t>
      </w:r>
    </w:p>
    <w:p>
      <w:pPr>
        <w:ind w:right="40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2.01(1)</w:t>
      </w:r>
      <w:r>
        <w:rPr>
          <w:rFonts w:ascii="Times New Roman" w:cs="Times New Roman" w:eastAsia="Times New Roman" w:hAnsi="Times New Roman"/>
          <w:sz w:val="20"/>
          <w:szCs w:val="20"/>
          <w:color w:val="auto"/>
        </w:rPr>
        <w:t xml:space="preserve"> and repaid or prepaid may not be reborrowed. The Closing Date Term Loans may be Base Rate Loans or Term Benchmark Rate Loans, as further provided herein.</w:t>
      </w:r>
    </w:p>
    <w:p>
      <w:pPr>
        <w:spacing w:after="0" w:line="181" w:lineRule="exact"/>
        <w:rPr>
          <w:rFonts w:ascii="Times New Roman" w:cs="Times New Roman" w:eastAsia="Times New Roman" w:hAnsi="Times New Roman"/>
          <w:sz w:val="19"/>
          <w:szCs w:val="19"/>
          <w:color w:val="auto"/>
        </w:rPr>
      </w:pPr>
    </w:p>
    <w:p>
      <w:pPr>
        <w:ind w:right="20" w:firstLine="1505"/>
        <w:spacing w:after="0" w:line="242" w:lineRule="auto"/>
        <w:tabs>
          <w:tab w:leader="none" w:pos="1893"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Borrowings</w:t>
      </w:r>
      <w:r>
        <w:rPr>
          <w:rFonts w:ascii="Times New Roman" w:cs="Times New Roman" w:eastAsia="Times New Roman" w:hAnsi="Times New Roman"/>
          <w:sz w:val="20"/>
          <w:szCs w:val="20"/>
          <w:color w:val="auto"/>
        </w:rPr>
        <w:t>. Subject to the terms and conditions set forth herein, each Revolving Lender severally agrees to make loans denominated in Dollars from its applicable Lending Office (each such loan, a “</w:t>
      </w:r>
      <w:r>
        <w:rPr>
          <w:rFonts w:ascii="Times New Roman" w:cs="Times New Roman" w:eastAsia="Times New Roman" w:hAnsi="Times New Roman"/>
          <w:sz w:val="20"/>
          <w:szCs w:val="20"/>
          <w:b w:val="1"/>
          <w:bCs w:val="1"/>
          <w:color w:val="auto"/>
        </w:rPr>
        <w:t>Revolving Loan</w:t>
      </w:r>
      <w:r>
        <w:rPr>
          <w:rFonts w:ascii="Times New Roman" w:cs="Times New Roman" w:eastAsia="Times New Roman" w:hAnsi="Times New Roman"/>
          <w:sz w:val="20"/>
          <w:szCs w:val="20"/>
          <w:color w:val="auto"/>
        </w:rPr>
        <w:t xml:space="preserve">”) to the Borrower from time to time, on any Business Day during the period from the Closing Date until the Maturity Date, in an aggregate principal amount not to exceed at any time outstanding the amount of such Lender’s Revolving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after giving effect to any Revolving Borrowing, the aggregate Outstanding Amount of the Revolving Loans of any Lender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such Lender’s Applicable Percentage of the Outstanding Amount of all L/C Obligations, plus, in the case of each Lender other than the Swing Line Lender (in its capacity as such), such Lender’s Applicable Percentage of the Outstanding Amount of all Swing Line Loans, shall not exceed such Lender’s Revolving Commitment. Within the limits of each Lender’s Revolving Commitment, and subject to the other terms and conditions hereof, the Borrower may borrow under this </w:t>
      </w:r>
      <w:r>
        <w:rPr>
          <w:rFonts w:ascii="Times New Roman" w:cs="Times New Roman" w:eastAsia="Times New Roman" w:hAnsi="Times New Roman"/>
          <w:sz w:val="20"/>
          <w:szCs w:val="20"/>
          <w:u w:val="single" w:color="auto"/>
          <w:color w:val="auto"/>
        </w:rPr>
        <w:t>Section 2.01(2)</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2.01(2)</w:t>
      </w:r>
      <w:r>
        <w:rPr>
          <w:rFonts w:ascii="Times New Roman" w:cs="Times New Roman" w:eastAsia="Times New Roman" w:hAnsi="Times New Roman"/>
          <w:sz w:val="20"/>
          <w:szCs w:val="20"/>
          <w:color w:val="auto"/>
        </w:rPr>
        <w:t>. Revolving Loans may be Base Rate Loans or Term Benchmark Rate Loans, as further provided herein; provided, that, for the avoidance of doubt, Swing Line Loans may only be Base Rate Loans.</w:t>
      </w:r>
    </w:p>
    <w:p>
      <w:pPr>
        <w:spacing w:after="0" w:line="19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2.02</w:t>
      </w:r>
      <w:r>
        <w:rPr>
          <w:sz w:val="20"/>
          <w:szCs w:val="20"/>
          <w:color w:val="auto"/>
        </w:rPr>
        <w:tab/>
      </w:r>
      <w:r>
        <w:rPr>
          <w:rFonts w:ascii="Times New Roman" w:cs="Times New Roman" w:eastAsia="Times New Roman" w:hAnsi="Times New Roman"/>
          <w:sz w:val="19"/>
          <w:szCs w:val="19"/>
          <w:color w:val="auto"/>
        </w:rPr>
        <w:t>Borrowings, Conversions and Continuations of Loans.</w:t>
      </w:r>
    </w:p>
    <w:p>
      <w:pPr>
        <w:spacing w:after="0" w:line="216" w:lineRule="exact"/>
        <w:rPr>
          <w:sz w:val="20"/>
          <w:szCs w:val="20"/>
          <w:color w:val="auto"/>
        </w:rPr>
      </w:pPr>
    </w:p>
    <w:p>
      <w:pPr>
        <w:ind w:firstLine="1505"/>
        <w:spacing w:after="0" w:line="241" w:lineRule="auto"/>
        <w:tabs>
          <w:tab w:leader="none" w:pos="1893"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Term Borrowing, each Revolving Borrowing, each conversion of Term Loans or Revolving Loans from one Type to the other, and each continuation of Term Benchmark Rate Loans shall be made upon the Borrower’s irrevocable notice, on behalf of the Borrower, to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notice in respect of the initial Credit Extension, or in connection with any Permitted Acquisition or other transaction permitted under this Agreement, may be conditioned on the closing of such Permitted Acquisition or other transaction, as applicable), which may be given by: (a) telephone or (b) a Committed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telephonic notice by the Borrower must be confirmed promptly by delivery to the Administrative Agent of a Committed Loan Notice. Each such notice must be received by the Administrative Agent not later than (i) 3:00 p.m., New York time, three (3) Business Days prior to the requested date of any Borrowing or continuation of Term Benchmark Rate Loans or any conversion of Base Rate Loans to Term Benchmark Rate Loans (or such later time as agreed by the Administrative Agent) and (ii) 1:00 p.m., New York time, on the requested date of any Borrowing of Base Rate Loans or any conversion of Term Benchmark Rate Loans to Base Rate Loans (or such later time as agreed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notice referred to in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above may be delivered not later than 3:00 p.m., New York time, one (1) Business Day prior to the Closing Date in the case of the Closing Date Loans and any Incremental Facility Closing Date (or such later time as agreed by the Administrative Agent). Each telephonic notice by the Borrower pursuant to this </w:t>
      </w:r>
      <w:r>
        <w:rPr>
          <w:rFonts w:ascii="Times New Roman" w:cs="Times New Roman" w:eastAsia="Times New Roman" w:hAnsi="Times New Roman"/>
          <w:sz w:val="20"/>
          <w:szCs w:val="20"/>
          <w:u w:val="single" w:color="auto"/>
          <w:color w:val="auto"/>
        </w:rPr>
        <w:t>Section 2.02(1)</w:t>
      </w:r>
      <w:r>
        <w:rPr>
          <w:rFonts w:ascii="Times New Roman" w:cs="Times New Roman" w:eastAsia="Times New Roman" w:hAnsi="Times New Roman"/>
          <w:sz w:val="20"/>
          <w:szCs w:val="20"/>
          <w:color w:val="auto"/>
        </w:rPr>
        <w:t xml:space="preserve"> must be confirmed promptly by delivery to the Administrative Agent of a written Committed Loan Notice, appropriately completed and signed by a Responsible Officer of the Borrower. Except as provided in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each Borrowing of, conversion to or continuation of Term Benchmark Rate Loans shall be in a principal amount of $500,000, or a whole multiple amount 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3" w:name="page214"/>
    <w:bookmarkEnd w:id="213"/>
    <w:p>
      <w:pPr>
        <w:ind w:right="240"/>
        <w:spacing w:after="0" w:line="254" w:lineRule="auto"/>
        <w:rPr>
          <w:sz w:val="20"/>
          <w:szCs w:val="20"/>
          <w:color w:val="auto"/>
        </w:rPr>
      </w:pPr>
      <w:r>
        <w:rPr>
          <w:rFonts w:ascii="Times New Roman" w:cs="Times New Roman" w:eastAsia="Times New Roman" w:hAnsi="Times New Roman"/>
          <w:sz w:val="20"/>
          <w:szCs w:val="20"/>
          <w:color w:val="auto"/>
        </w:rPr>
        <w:t xml:space="preserve">$250,000 in excess thereof. Except as provided in </w:t>
      </w:r>
      <w:r>
        <w:rPr>
          <w:rFonts w:ascii="Times New Roman" w:cs="Times New Roman" w:eastAsia="Times New Roman" w:hAnsi="Times New Roman"/>
          <w:sz w:val="20"/>
          <w:szCs w:val="20"/>
          <w:u w:val="single" w:color="auto"/>
          <w:color w:val="auto"/>
        </w:rPr>
        <w:t>Sections 2.03(3)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each Borrowing of or conversion to Base Rate Loans shall be in a principal amount of $500,000 or a whole multiple amount of $100,000 in excess thereof. Each Committed Loan Notice (whether telephonic or written) shall specify:</w:t>
      </w:r>
    </w:p>
    <w:p>
      <w:pPr>
        <w:spacing w:after="0" w:line="174" w:lineRule="exact"/>
        <w:rPr>
          <w:sz w:val="20"/>
          <w:szCs w:val="20"/>
          <w:color w:val="auto"/>
        </w:rPr>
      </w:pPr>
    </w:p>
    <w:p>
      <w:pPr>
        <w:ind w:right="520" w:firstLine="1505"/>
        <w:spacing w:after="0" w:line="269" w:lineRule="auto"/>
        <w:tabs>
          <w:tab w:leader="none" w:pos="189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Borrower is requesting a Term Borrowing, a Revolving Borrowing, a conversion of Term Loans or Revolving Loans from one Type to the other or a continuation of Term Benchmark Rate Loans,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requested date of the Borrowing, conversion or continuation, as the case may be (which shall be a Business Day),</w:t>
      </w:r>
    </w:p>
    <w:p>
      <w:pPr>
        <w:spacing w:after="0" w:line="22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Loans to be borrowed, converted or continued,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Type of Loans to be borrowed or to which existing Term Loans or Revolving Loans are to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converted,</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the duration of the Interest Period with respect thereto,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wire instructions of the account(s) to which funds are to be disbursed.</w:t>
      </w:r>
    </w:p>
    <w:p>
      <w:pPr>
        <w:spacing w:after="0" w:line="216"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0"/>
          <w:szCs w:val="20"/>
          <w:color w:val="auto"/>
        </w:rPr>
        <w:t>If the Borrower fails to specify a Type of Loan to be made in a Committed Loan Notice, then the applicable Loans shall be made as Term Benchmark Rate Loans with an Interest Period of one (1) month. If the Borrower fails to give a timely notice requesting a conversion or continuation, then the applicable Loans shall be made or continued as the same Type of Loan, which if a Term Benchmark Rate Loan, shall have a one-month Interest Period (or in the case of a continuation, an identical Interest Period as the Interest Period just ending). Any such automatic continuation of Term Benchmark Rate Loans shall be effective as of the last day of the Interest Period then in effect with respect to the applicable Term Benchmark Rate Loans. If the Borrower requests a Borrowing of, conversion to, or continuation of Term Benchmark Rate Loans in any such Committed Loan Notice, but fails to specify an Interest Period, it will be deemed to have an identical Interest Period as the Interest Period just ending.</w:t>
      </w:r>
    </w:p>
    <w:p>
      <w:pPr>
        <w:spacing w:after="0" w:line="189" w:lineRule="exact"/>
        <w:rPr>
          <w:sz w:val="20"/>
          <w:szCs w:val="20"/>
          <w:color w:val="auto"/>
        </w:rPr>
      </w:pPr>
    </w:p>
    <w:p>
      <w:pPr>
        <w:ind w:right="20" w:firstLine="1505"/>
        <w:spacing w:after="0" w:line="241" w:lineRule="auto"/>
        <w:tabs>
          <w:tab w:leader="none" w:pos="189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Committed Loan Notice, the Administrative Agent shall promptly notify each Lender of the amount of its Pro Rata Share or other applicable share provided for under this Agreement of the applicable Class of Loans, and if no timely notice of a conversion or continuation is provided by the Borrower, the Administrative Agent shall notify each Lender of the details of any automatic continuation of Term Benchmark Rate Loans or continuation of Loans described in </w:t>
      </w:r>
      <w:r>
        <w:rPr>
          <w:rFonts w:ascii="Times New Roman" w:cs="Times New Roman" w:eastAsia="Times New Roman" w:hAnsi="Times New Roman"/>
          <w:sz w:val="20"/>
          <w:szCs w:val="20"/>
          <w:u w:val="single" w:color="auto"/>
          <w:color w:val="auto"/>
        </w:rPr>
        <w:t>Section 2.02(1)</w:t>
      </w:r>
      <w:r>
        <w:rPr>
          <w:rFonts w:ascii="Times New Roman" w:cs="Times New Roman" w:eastAsia="Times New Roman" w:hAnsi="Times New Roman"/>
          <w:sz w:val="20"/>
          <w:szCs w:val="20"/>
          <w:color w:val="auto"/>
        </w:rPr>
        <w:t xml:space="preserve">. In the case of each Borrowing, each Appropriate Lender shall make the amount of its Loan available to the Administrative Agent in Same Day Funds at the Administrative Agent’s Office not later than, in the case of Borrowing on the Closing Date, 10:00 a.m., New York time, and otherwise 3:00 p.m., New York time, on the Business Day specified in the applicable Committed Loan Notice. Upon satisfaction of the applicable conditions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for any Borrowing, the Administrative Agent shall make all funds so received available to the Borrower in like funds as received by the Administrative Agent either by (a) crediting the account(s) of the Borrower on the books of the Administrative Agent with the amount of such funds or (b) wire transfer of such funds, in each case in accordance with instructions provided by the Borrower to (and reasonably acceptable to)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on the date the Committed Loan Notice with respect to a Borrowing under a Revolving Facility is given by the Borrower (other than with respect to the Closing Date Revolving Borrowing), there are Swing Line Loans or L/C Borrowings outstanding, then the proceeds of such Borrowing shall be applied, first, to the payment in full of any such L/C Borrowing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0"/>
          <w:szCs w:val="20"/>
          <w:color w:val="auto"/>
        </w:rPr>
        <w:t>second, to the payment in full of any such Swing Line Loans, and third, to the Borrower as provided above.</w:t>
      </w:r>
    </w:p>
    <w:p>
      <w:pPr>
        <w:spacing w:after="0" w:line="216" w:lineRule="exact"/>
        <w:rPr>
          <w:sz w:val="20"/>
          <w:szCs w:val="20"/>
          <w:color w:val="auto"/>
        </w:rPr>
      </w:pPr>
    </w:p>
    <w:p>
      <w:pPr>
        <w:ind w:right="160" w:firstLine="1505"/>
        <w:spacing w:after="0" w:line="246" w:lineRule="auto"/>
        <w:tabs>
          <w:tab w:leader="none" w:pos="189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herein, a Term Benchmark Rate Loan may be continued or converted only on the last day of an Interest Period for such Term Benchmark Rate Loan unless the Borrower pays the amount due, if any,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in connection therewith. Upon the occurrence and during the continuation of an Event of Default, the Administrative Agent at the direction of the Required Facility Lenders under the applicable Facility may require by notice to the Borrower that no Loans under such Facility may be converted to or continued as Term Benchmark Rate Loans.</w:t>
      </w:r>
    </w:p>
    <w:p>
      <w:pPr>
        <w:spacing w:after="0" w:line="184" w:lineRule="exact"/>
        <w:rPr>
          <w:rFonts w:ascii="Times New Roman" w:cs="Times New Roman" w:eastAsia="Times New Roman" w:hAnsi="Times New Roman"/>
          <w:sz w:val="20"/>
          <w:szCs w:val="20"/>
          <w:color w:val="auto"/>
        </w:rPr>
      </w:pPr>
    </w:p>
    <w:p>
      <w:pPr>
        <w:ind w:firstLine="1505"/>
        <w:spacing w:after="0" w:line="246" w:lineRule="auto"/>
        <w:tabs>
          <w:tab w:leader="none" w:pos="189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Borrower and the Lenders of the interest rate applicable to any Interest Period for Term Benchmark Rate Loans upon determination of such interest rate. The determination of the Term Benchmark Rate by the Administrative Agent shall be conclusive in the absence of manifest error. At any time when Base Rate Loans are outstanding, the Administrative Agent shall notify the Borrower and the Lenders of any change in the prime rate used in determining the Base Rate promptly following the public announcement of such change.</w:t>
      </w:r>
    </w:p>
    <w:p>
      <w:pPr>
        <w:spacing w:after="0" w:line="184" w:lineRule="exact"/>
        <w:rPr>
          <w:rFonts w:ascii="Times New Roman" w:cs="Times New Roman" w:eastAsia="Times New Roman" w:hAnsi="Times New Roman"/>
          <w:sz w:val="20"/>
          <w:szCs w:val="20"/>
          <w:color w:val="auto"/>
        </w:rPr>
      </w:pPr>
    </w:p>
    <w:p>
      <w:pPr>
        <w:ind w:right="80" w:firstLine="1505"/>
        <w:spacing w:after="0" w:line="245" w:lineRule="auto"/>
        <w:tabs>
          <w:tab w:leader="none" w:pos="189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all Term Borrowings, all Revolving Borrowings, all conversions of Term Loans or Revolving Loans from one Type to the other, and all continuations of Term Loans or Revolving Loans as the same Type, there shall not be more than ten (10) Interest Periods in effect unless otherwise agreed between the Borrower and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the establishment of any new Class of Loans pursuant to an Incremental Amendment, a Refinancing Amendment, an Extension Amendment or an amendment in respect of Replacement Loans, the number of Interest Periods otherwise permitted by this </w:t>
      </w:r>
      <w:r>
        <w:rPr>
          <w:rFonts w:ascii="Times New Roman" w:cs="Times New Roman" w:eastAsia="Times New Roman" w:hAnsi="Times New Roman"/>
          <w:sz w:val="20"/>
          <w:szCs w:val="20"/>
          <w:u w:val="single" w:color="auto"/>
          <w:color w:val="auto"/>
        </w:rPr>
        <w:t>Section 2.02(5)</w:t>
      </w:r>
      <w:r>
        <w:rPr>
          <w:rFonts w:ascii="Times New Roman" w:cs="Times New Roman" w:eastAsia="Times New Roman" w:hAnsi="Times New Roman"/>
          <w:sz w:val="20"/>
          <w:szCs w:val="20"/>
          <w:color w:val="auto"/>
        </w:rPr>
        <w:t xml:space="preserve"> shall increase by three (3) Interest Periods for each applicable Class so established.</w:t>
      </w:r>
    </w:p>
    <w:p>
      <w:pPr>
        <w:spacing w:after="0" w:line="184" w:lineRule="exact"/>
        <w:rPr>
          <w:rFonts w:ascii="Times New Roman" w:cs="Times New Roman" w:eastAsia="Times New Roman" w:hAnsi="Times New Roman"/>
          <w:sz w:val="20"/>
          <w:szCs w:val="20"/>
          <w:color w:val="auto"/>
        </w:rPr>
      </w:pPr>
    </w:p>
    <w:p>
      <w:pPr>
        <w:ind w:right="140" w:firstLine="1505"/>
        <w:spacing w:after="0" w:line="254" w:lineRule="auto"/>
        <w:tabs>
          <w:tab w:leader="none" w:pos="189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74" w:lineRule="exact"/>
        <w:rPr>
          <w:rFonts w:ascii="Times New Roman" w:cs="Times New Roman" w:eastAsia="Times New Roman" w:hAnsi="Times New Roman"/>
          <w:sz w:val="20"/>
          <w:szCs w:val="20"/>
          <w:color w:val="auto"/>
        </w:rPr>
      </w:pPr>
    </w:p>
    <w:p>
      <w:pPr>
        <w:ind w:right="40" w:firstLine="1505"/>
        <w:spacing w:after="0" w:line="255" w:lineRule="auto"/>
        <w:tabs>
          <w:tab w:leader="none" w:pos="1893"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the Administrative Agent shall have received notice from a Lender prior to the date of any Borrowing, or, in the case of any Borrowing of Base Rate Loans, prior to 1:30 p.m., New York time, on the date of such Borrowing, that such Lender will not make available to the Administrative Agent such Lender’s Pro Rata Share or other applicable share provided for under this Agreement of such Borrowing, the Administrative Agent may assume that such Lender has made such Pro Rata Share and such other applicable share available to the Administrative Agent on the date of such Borrowing in accordance with </w:t>
      </w:r>
      <w:r>
        <w:rPr>
          <w:rFonts w:ascii="Times New Roman" w:cs="Times New Roman" w:eastAsia="Times New Roman" w:hAnsi="Times New Roman"/>
          <w:sz w:val="19"/>
          <w:szCs w:val="19"/>
          <w:u w:val="single" w:color="auto"/>
          <w:color w:val="auto"/>
        </w:rPr>
        <w:t>paragraph (2)</w:t>
      </w:r>
      <w:r>
        <w:rPr>
          <w:rFonts w:ascii="Times New Roman" w:cs="Times New Roman" w:eastAsia="Times New Roman" w:hAnsi="Times New Roman"/>
          <w:sz w:val="19"/>
          <w:szCs w:val="19"/>
          <w:color w:val="auto"/>
        </w:rPr>
        <w:t xml:space="preserve">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Loans comprising such Borrowing and (b) in the case of such Lender, the Overnight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19"/>
          <w:szCs w:val="19"/>
          <w:u w:val="single" w:color="auto"/>
          <w:color w:val="auto"/>
        </w:rPr>
        <w:t>Section 2.02(7)</w:t>
      </w:r>
      <w:r>
        <w:rPr>
          <w:rFonts w:ascii="Times New Roman" w:cs="Times New Roman" w:eastAsia="Times New Roman" w:hAnsi="Times New Roman"/>
          <w:sz w:val="19"/>
          <w:szCs w:val="19"/>
          <w:color w:val="auto"/>
        </w:rPr>
        <w:t xml:space="preserve"> shall be conclusive in the absence of manifest error. If the Borrower and such Lender shall both pay all or any portion of the principal amount in respect of such Borrowing or interest to the Administrative Agent for the same or an overlapping period, the Administrative Agent shall promptly remit to the Borrower the amount of such</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ind w:right="120"/>
        <w:spacing w:after="0" w:line="249" w:lineRule="auto"/>
        <w:rPr>
          <w:sz w:val="20"/>
          <w:szCs w:val="20"/>
          <w:color w:val="auto"/>
        </w:rPr>
      </w:pPr>
      <w:r>
        <w:rPr>
          <w:rFonts w:ascii="Times New Roman" w:cs="Times New Roman" w:eastAsia="Times New Roman" w:hAnsi="Times New Roman"/>
          <w:sz w:val="20"/>
          <w:szCs w:val="20"/>
          <w:color w:val="auto"/>
        </w:rPr>
        <w:t>Borrowing or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2.03</w:t>
      </w:r>
      <w:r>
        <w:rPr>
          <w:sz w:val="20"/>
          <w:szCs w:val="20"/>
          <w:color w:val="auto"/>
        </w:rPr>
        <w:tab/>
      </w:r>
      <w:r>
        <w:rPr>
          <w:rFonts w:ascii="Times New Roman" w:cs="Times New Roman" w:eastAsia="Times New Roman" w:hAnsi="Times New Roman"/>
          <w:sz w:val="19"/>
          <w:szCs w:val="19"/>
          <w:color w:val="auto"/>
        </w:rPr>
        <w:t>Letters of Credit.</w:t>
      </w:r>
    </w:p>
    <w:p>
      <w:pPr>
        <w:spacing w:after="0" w:line="216" w:lineRule="exact"/>
        <w:rPr>
          <w:sz w:val="20"/>
          <w:szCs w:val="20"/>
          <w:color w:val="auto"/>
        </w:rPr>
      </w:pPr>
    </w:p>
    <w:p>
      <w:pPr>
        <w:ind w:left="1900" w:hanging="395"/>
        <w:spacing w:after="0"/>
        <w:tabs>
          <w:tab w:leader="none" w:pos="19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80" w:firstLine="1880"/>
        <w:spacing w:after="0" w:line="241" w:lineRule="auto"/>
        <w:tabs>
          <w:tab w:leader="none" w:pos="226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(i) each Issuing Bank agrees, in reliance upon the agreements of the other Revolving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 from time to time on any Business Day during the period from the Closing Date until the L/C Expiration Date, to issue Letters of Credit denominated in Dollars for the account of Holdings (to the extent not prohibited under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 the Borrower or any of its Restricted Subsidiaries (so long as the Borrower is a co-applicant and jointly and severally liable thereunder)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Letter of Credit may be for the benefit of Holdings or any Subsidiary of the Borrower) and to amend or extend such Letters of Credit previously issued by it, in accordance with </w:t>
      </w:r>
      <w:r>
        <w:rPr>
          <w:rFonts w:ascii="Times New Roman" w:cs="Times New Roman" w:eastAsia="Times New Roman" w:hAnsi="Times New Roman"/>
          <w:sz w:val="20"/>
          <w:szCs w:val="20"/>
          <w:u w:val="single" w:color="auto"/>
          <w:color w:val="auto"/>
        </w:rPr>
        <w:t>Section 2.03(2)</w:t>
      </w:r>
      <w:r>
        <w:rPr>
          <w:rFonts w:ascii="Times New Roman" w:cs="Times New Roman" w:eastAsia="Times New Roman" w:hAnsi="Times New Roman"/>
          <w:sz w:val="20"/>
          <w:szCs w:val="20"/>
          <w:color w:val="auto"/>
        </w:rPr>
        <w:t xml:space="preserve">, and (B) to honor drawings under the Letters of Credit and (ii) the Revolving Lenders severally agree to participate in Letters of Credit issued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Issuing Bank shall be obligated to make any L/C Credit Extension with respect to any Letter of Credit, and no Lender shall be obligated to participate in any Letter of Credit if as of the date of such L/C Credit Extension, (x) the Revolving Exposure of any Revolving Lender would exceed such Lender’s Revolving Commitment, (y) the Outstanding Amount of the L/C Obligations would exceed the L/C Sublimit or (z) the Outstanding Amount of the L/C Obligations issued by such Issuing Bank would exceed its L/C Commitment.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9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Issuing Bank shall be under no obligation to issue any Letter of Credit if:</w:t>
      </w:r>
    </w:p>
    <w:p>
      <w:pPr>
        <w:spacing w:after="0" w:line="216" w:lineRule="exact"/>
        <w:rPr>
          <w:sz w:val="20"/>
          <w:szCs w:val="20"/>
          <w:color w:val="auto"/>
        </w:rPr>
      </w:pPr>
    </w:p>
    <w:p>
      <w:pPr>
        <w:ind w:right="60" w:firstLine="1505"/>
        <w:spacing w:after="0" w:line="244" w:lineRule="auto"/>
        <w:tabs>
          <w:tab w:leader="none" w:pos="189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(for which such Issuing Bank is not otherwise compensated hereunder);</w:t>
      </w:r>
    </w:p>
    <w:p>
      <w:pPr>
        <w:spacing w:after="0" w:line="185" w:lineRule="exact"/>
        <w:rPr>
          <w:rFonts w:ascii="Times New Roman" w:cs="Times New Roman" w:eastAsia="Times New Roman" w:hAnsi="Times New Roman"/>
          <w:sz w:val="20"/>
          <w:szCs w:val="20"/>
          <w:color w:val="auto"/>
        </w:rPr>
      </w:pPr>
    </w:p>
    <w:p>
      <w:pPr>
        <w:ind w:firstLine="1505"/>
        <w:spacing w:after="0" w:line="266" w:lineRule="auto"/>
        <w:tabs>
          <w:tab w:leader="none" w:pos="1893"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2.03(2)(c)</w:t>
      </w:r>
      <w:r>
        <w:rPr>
          <w:rFonts w:ascii="Times New Roman" w:cs="Times New Roman" w:eastAsia="Times New Roman" w:hAnsi="Times New Roman"/>
          <w:sz w:val="19"/>
          <w:szCs w:val="19"/>
          <w:color w:val="auto"/>
        </w:rPr>
        <w:t>, the expiry date of such requested Letter of Credit would occur more than twelve months after the date of issuance or last extension, unless (A) each Appropriate Lender has approved of such expiration date or (B) the Outstanding Amount of L/C Obligations in respect of such requested Letter of Credit has been Cash Collateralized or back-stopped by a letter of credit reasonably satisfactory to the applicable Issuing Bank prior to the date that is twelve months after the date of issuance thereof;</w:t>
      </w:r>
    </w:p>
    <w:p>
      <w:pPr>
        <w:spacing w:after="0" w:line="165" w:lineRule="exact"/>
        <w:rPr>
          <w:rFonts w:ascii="Times New Roman" w:cs="Times New Roman" w:eastAsia="Times New Roman" w:hAnsi="Times New Roman"/>
          <w:sz w:val="19"/>
          <w:szCs w:val="19"/>
          <w:color w:val="auto"/>
        </w:rPr>
      </w:pPr>
    </w:p>
    <w:p>
      <w:pPr>
        <w:ind w:right="120" w:firstLine="1505"/>
        <w:spacing w:after="0" w:line="269" w:lineRule="auto"/>
        <w:tabs>
          <w:tab w:leader="none" w:pos="189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2.03(2)(c)</w:t>
      </w:r>
      <w:r>
        <w:rPr>
          <w:rFonts w:ascii="Times New Roman" w:cs="Times New Roman" w:eastAsia="Times New Roman" w:hAnsi="Times New Roman"/>
          <w:sz w:val="20"/>
          <w:szCs w:val="20"/>
          <w:color w:val="auto"/>
        </w:rPr>
        <w:t>, the expiry date of such requested Letter of Credit would occur after the L/C Expiration Date, unless (I) each Appropriate Lender has approved of such</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p>
      <w:pPr>
        <w:ind w:right="60"/>
        <w:spacing w:after="0" w:line="269" w:lineRule="auto"/>
        <w:rPr>
          <w:sz w:val="20"/>
          <w:szCs w:val="20"/>
          <w:color w:val="auto"/>
        </w:rPr>
      </w:pPr>
      <w:r>
        <w:rPr>
          <w:rFonts w:ascii="Times New Roman" w:cs="Times New Roman" w:eastAsia="Times New Roman" w:hAnsi="Times New Roman"/>
          <w:sz w:val="20"/>
          <w:szCs w:val="20"/>
          <w:color w:val="auto"/>
        </w:rPr>
        <w:t>expiration date or (II) the Outstanding Amount of L/C Obligations in respect of such requested Letter of Credit has been Cash Collateralized or back-stopped by a letter of credit reasonably satisfactory to the applicable Issuing Bank prior to the L/C Expiration Date;</w:t>
      </w:r>
    </w:p>
    <w:p>
      <w:pPr>
        <w:spacing w:after="0" w:line="159" w:lineRule="exact"/>
        <w:rPr>
          <w:sz w:val="20"/>
          <w:szCs w:val="20"/>
          <w:color w:val="auto"/>
        </w:rPr>
      </w:pPr>
    </w:p>
    <w:p>
      <w:pPr>
        <w:ind w:right="120" w:firstLine="1505"/>
        <w:spacing w:after="0" w:line="254" w:lineRule="auto"/>
        <w:tabs>
          <w:tab w:leader="none" w:pos="18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issuance of such Letter of Credit would violate any policies of such Issuing Bank applicable to letters of credit generally;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Issuing Bank shall be required to issue either (A) letters of guarantee or bankers’ acceptances or (B) commercial letters of credit, in each case without its consent; or</w:t>
      </w:r>
    </w:p>
    <w:p>
      <w:pPr>
        <w:spacing w:after="0" w:line="174" w:lineRule="exact"/>
        <w:rPr>
          <w:rFonts w:ascii="Times New Roman" w:cs="Times New Roman" w:eastAsia="Times New Roman" w:hAnsi="Times New Roman"/>
          <w:sz w:val="20"/>
          <w:szCs w:val="20"/>
          <w:color w:val="auto"/>
        </w:rPr>
      </w:pPr>
    </w:p>
    <w:p>
      <w:pPr>
        <w:ind w:right="100" w:firstLine="1505"/>
        <w:spacing w:after="0" w:line="246" w:lineRule="auto"/>
        <w:tabs>
          <w:tab w:leader="none" w:pos="18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Revolving Lender is at that time a Defaulting Lender, unless such Issuing Bank has entered into arrangements, including the delivery of Cash Collateral, satisfactory to such Issuing Bank (in its sole discretion) with the Borrower or such Lender to eliminate such Issuing Bank’s actual or potential Fronting Exposure (after giving effect to </w:t>
      </w:r>
      <w:r>
        <w:rPr>
          <w:rFonts w:ascii="Times New Roman" w:cs="Times New Roman" w:eastAsia="Times New Roman" w:hAnsi="Times New Roman"/>
          <w:sz w:val="20"/>
          <w:szCs w:val="20"/>
          <w:u w:val="single" w:color="auto"/>
          <w:color w:val="auto"/>
        </w:rPr>
        <w:t>Section 2.17(1)(d)</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such Issuing Bank has actual or potential Fronting Exposure, as it may elect in its sole discretion.</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An Issuing Bank shall be under no obligation to amend any Letter of Credit if (i) such Issuing Bank would have no obligation at such time to issue such Letter of Credit in its amended form under the terms hereof or (ii) the beneficiary of such Letter of Credit does not accept the proposed amendment to such Letter of Credit.</w:t>
      </w:r>
    </w:p>
    <w:p>
      <w:pPr>
        <w:spacing w:after="0" w:line="174" w:lineRule="exact"/>
        <w:rPr>
          <w:sz w:val="20"/>
          <w:szCs w:val="20"/>
          <w:color w:val="auto"/>
        </w:rPr>
      </w:pPr>
    </w:p>
    <w:p>
      <w:pPr>
        <w:ind w:left="1900" w:hanging="395"/>
        <w:spacing w:after="0"/>
        <w:tabs>
          <w:tab w:leader="none" w:pos="19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 Credit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880"/>
        <w:spacing w:after="0" w:line="245" w:lineRule="auto"/>
        <w:tabs>
          <w:tab w:leader="none" w:pos="226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Borrower delivered to the applicable Issuing Bank in the form of a L/C Application, appropriately completed and signed by a Responsible Officer of the Borrower. Such L/C Application must be received by the relevant Issuing Bank not later than 1:00 p.m., New York time, at least three (3) Business Days prior to the proposed issuance date or date of amendment, as the case may be, or, in each case, such later date and time as the relevant Issuing Bank may agree in a particular instance in its sole discretion. In the case of a request for an initial issuance of a Letter of Credit, such L/C Application shall specify in form and detail reasonably satisfactory to the relevant Issuing Bank:</w:t>
      </w:r>
    </w:p>
    <w:p>
      <w:pPr>
        <w:spacing w:after="0" w:line="184" w:lineRule="exact"/>
        <w:rPr>
          <w:sz w:val="20"/>
          <w:szCs w:val="20"/>
          <w:color w:val="auto"/>
        </w:rPr>
      </w:pPr>
    </w:p>
    <w:p>
      <w:pPr>
        <w:ind w:left="1900" w:hanging="395"/>
        <w:spacing w:after="0"/>
        <w:tabs>
          <w:tab w:leader="none" w:pos="19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issuance date of the requested Letter of Credit (which shall be a Business Day);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thereof;</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thereof;</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beneficiary thereof;</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documents to be presented by such beneficiary in case of any drawing thereunder;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 text of any certificate to be presented by such beneficiary in case of any drawing thereunder;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matters as the relevant Issuing Bank may reasonably request.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17" w:name="page218"/>
    <w:bookmarkEnd w:id="217"/>
    <w:p>
      <w:pPr>
        <w:ind w:right="140" w:firstLine="1497"/>
        <w:spacing w:after="0" w:line="269" w:lineRule="auto"/>
        <w:rPr>
          <w:sz w:val="20"/>
          <w:szCs w:val="20"/>
          <w:color w:val="auto"/>
        </w:rPr>
      </w:pPr>
      <w:r>
        <w:rPr>
          <w:rFonts w:ascii="Times New Roman" w:cs="Times New Roman" w:eastAsia="Times New Roman" w:hAnsi="Times New Roman"/>
          <w:sz w:val="20"/>
          <w:szCs w:val="20"/>
          <w:color w:val="auto"/>
        </w:rPr>
        <w:t>In the case of a request for an amendment of any outstanding Letter of Credit, such L/C Application shall specify in form and detail reasonably satisfactory to the relevant Issuing Bank:</w:t>
      </w:r>
    </w:p>
    <w:p>
      <w:pPr>
        <w:spacing w:after="0" w:line="159" w:lineRule="exact"/>
        <w:rPr>
          <w:sz w:val="20"/>
          <w:szCs w:val="20"/>
          <w:color w:val="auto"/>
        </w:rPr>
      </w:pPr>
    </w:p>
    <w:p>
      <w:pPr>
        <w:ind w:left="1900" w:hanging="395"/>
        <w:spacing w:after="0"/>
        <w:tabs>
          <w:tab w:leader="none" w:pos="19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to be amended;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date of amendment thereof (which shall be a Business Day);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the proposed amendment;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matters as the relevant Issuing Bank may reasonably request.</w:t>
      </w:r>
    </w:p>
    <w:p>
      <w:pPr>
        <w:spacing w:after="0" w:line="215" w:lineRule="exact"/>
        <w:rPr>
          <w:rFonts w:ascii="Times New Roman" w:cs="Times New Roman" w:eastAsia="Times New Roman" w:hAnsi="Times New Roman"/>
          <w:sz w:val="20"/>
          <w:szCs w:val="20"/>
          <w:color w:val="auto"/>
        </w:rPr>
      </w:pPr>
    </w:p>
    <w:p>
      <w:pPr>
        <w:ind w:right="20" w:firstLine="1880"/>
        <w:spacing w:after="0" w:line="243" w:lineRule="auto"/>
        <w:tabs>
          <w:tab w:leader="none" w:pos="226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of any L/C Application the relevant Issuing Bank will confirm with the Administrative Agent (by telephone or in writing) that the Administrative Agent has received a copy of such L/C Application from the Borrower and, if not, such Issuing Bank will provide the Administrative Agent with a copy thereof. Upon receipt by the relevant Issuing Bank of confirmation from the Administrative Agent that the requested issuance or amendment is permitted in accordance with the terms hereof, then, subject to the terms and conditions hereof, such Issuing Bank shall, on the requested date, issue a Letter of Credit for the account of the Borrower (or, if applicable, for the benefit of Holdings or a Subsidiary of the Borrower) or enter into the applicable amendment, as the case may be. Immediately upon the issuance of each Letter of Credit, each Revolving Lender shall be deemed to, and hereby immediately irrevocably and unconditionally agrees to, purchase from the relevant Issuing Bank a risk participation in such Letter of Credit in an amount equal to the product of such Lender’s Applicable Percentage of the amount of such Letter of Credit.</w:t>
      </w:r>
    </w:p>
    <w:p>
      <w:pPr>
        <w:spacing w:after="0" w:line="185" w:lineRule="exact"/>
        <w:rPr>
          <w:rFonts w:ascii="Times New Roman" w:cs="Times New Roman" w:eastAsia="Times New Roman" w:hAnsi="Times New Roman"/>
          <w:sz w:val="20"/>
          <w:szCs w:val="20"/>
          <w:color w:val="auto"/>
        </w:rPr>
      </w:pPr>
    </w:p>
    <w:p>
      <w:pPr>
        <w:ind w:firstLine="1880"/>
        <w:spacing w:after="0" w:line="241" w:lineRule="auto"/>
        <w:tabs>
          <w:tab w:leader="none" w:pos="226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L/C Application, the relevant Issuing Bank shall agree to issue a Letter of Credit that has automatic extension provisions (each, an “</w:t>
      </w:r>
      <w:r>
        <w:rPr>
          <w:rFonts w:ascii="Times New Roman" w:cs="Times New Roman" w:eastAsia="Times New Roman" w:hAnsi="Times New Roman"/>
          <w:sz w:val="20"/>
          <w:szCs w:val="20"/>
          <w:b w:val="1"/>
          <w:bCs w:val="1"/>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Auto-Extension Letter of Credit may permit the relevant Issuing Bank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b w:val="1"/>
          <w:bCs w:val="1"/>
          <w:color w:val="auto"/>
        </w:rPr>
        <w:t>Non-Extension Notice Date</w:t>
      </w:r>
      <w:r>
        <w:rPr>
          <w:rFonts w:ascii="Times New Roman" w:cs="Times New Roman" w:eastAsia="Times New Roman" w:hAnsi="Times New Roman"/>
          <w:sz w:val="20"/>
          <w:szCs w:val="20"/>
          <w:color w:val="auto"/>
        </w:rPr>
        <w:t xml:space="preserve">”) in each such twelve-month period to be agreed upon by the relevant Issuing Bank and the Borrower at the time such Letter of Credit is issued. Unless otherwise agreed in such Letter of Credit, the Borrower shall not be required to make a specific request to the relevant Issuing Bank for any such extension. Once an Auto-Extension Letter of Credit has been issued, the applicable Lenders shall be deemed to have authorized (but may not require) the relevant Issuing Bank to permit the extension of such Letter of Credit at any time to an expiry date not later than the applicable L/C Expiration Date, unless the Outstanding Amount of L/C Obligations in respect of such requested Letter of Credit will be Cash Collateralized or back-stopped by a letter of credit reasonably satisfactory to the applicable Issuing Bank prior to the applicable L/C Expiration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relevant Issuing Bank shall not be required to allow such extension if (i) the relevant Issuing Bank has determined that it would not be permitted at such time to issue such Letter of Credit in its extended form under the terms hereof (by reason of the provisions of </w:t>
      </w:r>
      <w:r>
        <w:rPr>
          <w:rFonts w:ascii="Times New Roman" w:cs="Times New Roman" w:eastAsia="Times New Roman" w:hAnsi="Times New Roman"/>
          <w:sz w:val="20"/>
          <w:szCs w:val="20"/>
          <w:u w:val="single" w:color="auto"/>
          <w:color w:val="auto"/>
        </w:rPr>
        <w:t>Section 2.03(1)(b)</w:t>
      </w:r>
      <w:r>
        <w:rPr>
          <w:rFonts w:ascii="Times New Roman" w:cs="Times New Roman" w:eastAsia="Times New Roman" w:hAnsi="Times New Roman"/>
          <w:sz w:val="20"/>
          <w:szCs w:val="20"/>
          <w:color w:val="auto"/>
        </w:rPr>
        <w:t xml:space="preserve"> or otherwise) or (ii) it has received notice (which may be by telephone or in writing) on or before the day that is seven (7) Business Days before the Non-Extension Notice Date from the Administrative Agent, any Revolving Lender or the Borrower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will not be satisfied on the applicable date of the Credit Extension.</w:t>
      </w:r>
    </w:p>
    <w:p>
      <w:pPr>
        <w:spacing w:after="0" w:line="193" w:lineRule="exact"/>
        <w:rPr>
          <w:rFonts w:ascii="Times New Roman" w:cs="Times New Roman" w:eastAsia="Times New Roman" w:hAnsi="Times New Roman"/>
          <w:sz w:val="20"/>
          <w:szCs w:val="20"/>
          <w:color w:val="auto"/>
        </w:rPr>
      </w:pPr>
    </w:p>
    <w:p>
      <w:pPr>
        <w:ind w:firstLine="1880"/>
        <w:spacing w:after="0" w:line="269" w:lineRule="auto"/>
        <w:tabs>
          <w:tab w:leader="none" w:pos="226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issuance of any Letter of Credit or any amendment to a Letter of Credit, the relevant Issuing Bank will also deliver to the Borrower and the Administrative Agent a true and complete copy of such Letter of Credit or amendment.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8" w:name="page219"/>
    <w:bookmarkEnd w:id="218"/>
    <w:p>
      <w:pPr>
        <w:ind w:left="1880" w:hanging="395"/>
        <w:spacing w:after="0"/>
        <w:tabs>
          <w:tab w:leader="none" w:pos="188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 w:firstLine="1880"/>
        <w:spacing w:after="0"/>
        <w:tabs>
          <w:tab w:leader="none" w:pos="2248"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 compliant drawing under such Letter of Credit, the relevant Issuing Bank shall promptly notify the Borrower and the Administrative Agent thereof (including the date on which such payment is to be made). Not later than noon, New York time on the first Business Day immediately following any payment by an Issuing Bank under a Letter of Credit with notice to the Borrower (each such date, an “</w:t>
      </w:r>
      <w:r>
        <w:rPr>
          <w:rFonts w:ascii="Times New Roman" w:cs="Times New Roman" w:eastAsia="Times New Roman" w:hAnsi="Times New Roman"/>
          <w:sz w:val="20"/>
          <w:szCs w:val="20"/>
          <w:b w:val="1"/>
          <w:bCs w:val="1"/>
          <w:color w:val="auto"/>
        </w:rPr>
        <w:t>Honor Date</w:t>
      </w:r>
      <w:r>
        <w:rPr>
          <w:rFonts w:ascii="Times New Roman" w:cs="Times New Roman" w:eastAsia="Times New Roman" w:hAnsi="Times New Roman"/>
          <w:sz w:val="20"/>
          <w:szCs w:val="20"/>
          <w:color w:val="auto"/>
        </w:rPr>
        <w:t xml:space="preserve">”), the Borrower shall reimburse, or cause to be reimbursed, such Issuing Bank through the Administrative Agent, in an amount equal to the amount of such drawing;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reimbursement is not made on the date of payment by the Issuing Bank, the Borrower shall pay interest to the relevant Issuing Bank on such amount at the rate applicable to Base Rate Loans (without duplication of interest payable on L/C Borrowings). The relevant Issuing Bank shall notify the Borrower of the amount of the drawing promptly following the determination thereof. If the Borrower fails to so reimburse, or cause to be reimbursed, such Issuing Bank by such time, the Administrative Agent shall promptly notify each Appropriate Lender of the Honor Date, the amount of the unreimbursed drawing (the “</w:t>
      </w:r>
      <w:r>
        <w:rPr>
          <w:rFonts w:ascii="Times New Roman" w:cs="Times New Roman" w:eastAsia="Times New Roman" w:hAnsi="Times New Roman"/>
          <w:sz w:val="20"/>
          <w:szCs w:val="20"/>
          <w:b w:val="1"/>
          <w:bCs w:val="1"/>
          <w:color w:val="auto"/>
        </w:rPr>
        <w:t>Unreimbursed Amount</w:t>
      </w:r>
      <w:r>
        <w:rPr>
          <w:rFonts w:ascii="Times New Roman" w:cs="Times New Roman" w:eastAsia="Times New Roman" w:hAnsi="Times New Roman"/>
          <w:sz w:val="20"/>
          <w:szCs w:val="20"/>
          <w:color w:val="auto"/>
        </w:rPr>
        <w:t xml:space="preserve">”), and the amount of such Appropriate Lender’s Applicable Percentage thereof. In such event, in the case of an Unreimbursed Amount under a Letter of Credit, the Borrower shall be deemed to have irrevocably requested a Revolving Borrowing of Base Rate Loans to be disbursed on the Honor Date in an amount equal to the Unreimbursed Amount, unaffected by any circumstance whatsoever, including (without limitation) (x) the occurrence and continuance of a Default or Event of Default, (y) the fact that, whether before or after giving effect to the making of any such Revolving Loan, the outstanding aggregate principal amount of the Revolving Loans exceed or will exceed the Revolving Commitment and/or (z) the non-satisfaction of any conditions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in no event shall any Lender be obligated to fund in excess of its Revolving Commitment after giving effect to its share of L/C Obligations (and, to the extent not duplicative, any effect to its share of Revolving Exposure), and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Any notice given by an Issuing Bank pursuant to this </w:t>
      </w:r>
      <w:r>
        <w:rPr>
          <w:rFonts w:ascii="Times New Roman" w:cs="Times New Roman" w:eastAsia="Times New Roman" w:hAnsi="Times New Roman"/>
          <w:sz w:val="20"/>
          <w:szCs w:val="20"/>
          <w:u w:val="single" w:color="auto"/>
          <w:color w:val="auto"/>
        </w:rPr>
        <w:t>Section 2.03(3)(a)</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205" w:lineRule="exact"/>
        <w:rPr>
          <w:rFonts w:ascii="Times New Roman" w:cs="Times New Roman" w:eastAsia="Times New Roman" w:hAnsi="Times New Roman"/>
          <w:sz w:val="20"/>
          <w:szCs w:val="20"/>
          <w:color w:val="auto"/>
        </w:rPr>
      </w:pPr>
    </w:p>
    <w:p>
      <w:pPr>
        <w:ind w:left="-20" w:right="80" w:firstLine="1880"/>
        <w:spacing w:after="0" w:line="243" w:lineRule="auto"/>
        <w:tabs>
          <w:tab w:leader="none" w:pos="2248"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Appropriate Lender (including any Lender acting as an Issuing Bank) shall absolutely and unconditionally be obligated, upon any notice pursuant to </w:t>
      </w:r>
      <w:r>
        <w:rPr>
          <w:rFonts w:ascii="Times New Roman" w:cs="Times New Roman" w:eastAsia="Times New Roman" w:hAnsi="Times New Roman"/>
          <w:sz w:val="20"/>
          <w:szCs w:val="20"/>
          <w:u w:val="single" w:color="auto"/>
          <w:color w:val="auto"/>
        </w:rPr>
        <w:t>Section 2.03(3)(a)</w:t>
      </w:r>
      <w:r>
        <w:rPr>
          <w:rFonts w:ascii="Times New Roman" w:cs="Times New Roman" w:eastAsia="Times New Roman" w:hAnsi="Times New Roman"/>
          <w:sz w:val="20"/>
          <w:szCs w:val="20"/>
          <w:color w:val="auto"/>
        </w:rPr>
        <w:t xml:space="preserve">, to make funds available to the Administrative Agent for the account of the relevant Issuing Bank in Dollars at the Administrative Agent’s Office for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2.03(3)(c)</w:t>
      </w:r>
      <w:r>
        <w:rPr>
          <w:rFonts w:ascii="Times New Roman" w:cs="Times New Roman" w:eastAsia="Times New Roman" w:hAnsi="Times New Roman"/>
          <w:sz w:val="20"/>
          <w:szCs w:val="20"/>
          <w:color w:val="auto"/>
        </w:rPr>
        <w:t>, each Appropriate Lender that so makes funds available shall be deemed to have made a Revolving Loan that is a Base Rate Loan to the Borrower in such amount and, for the avoidance of doubt, the making of such Base Rate Loans in an aggregate amount equal to such Unreimbursed Amount shall satisfy the Borrower’s reimbursement obligations with respect thereof. The Administrative Agent shall remit the funds so received to the relevant Issuing Bank.</w:t>
      </w:r>
    </w:p>
    <w:p>
      <w:pPr>
        <w:spacing w:after="0" w:line="189" w:lineRule="exact"/>
        <w:rPr>
          <w:rFonts w:ascii="Times New Roman" w:cs="Times New Roman" w:eastAsia="Times New Roman" w:hAnsi="Times New Roman"/>
          <w:sz w:val="20"/>
          <w:szCs w:val="20"/>
          <w:color w:val="auto"/>
        </w:rPr>
      </w:pPr>
    </w:p>
    <w:p>
      <w:pPr>
        <w:ind w:left="-20" w:right="80" w:firstLine="1880"/>
        <w:spacing w:after="0" w:line="245" w:lineRule="auto"/>
        <w:tabs>
          <w:tab w:leader="none" w:pos="2248"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Revolving Borrowing of Base Rate Loans for any other reason, the Borrower shall be deemed to have incurred from the relevant Issuing Bank an L/C Borrowing in the amount of the Unreimbursed Amount that is not so refinanced, which L/C Borrowing shall be due and payable on demand (together with interest) and shall bear interest at the Default Rate. In such event, each Appropriate Lender’s payment to the Administrative Agent for the account of the relevant Issuing Bank pursuant to </w:t>
      </w:r>
      <w:r>
        <w:rPr>
          <w:rFonts w:ascii="Times New Roman" w:cs="Times New Roman" w:eastAsia="Times New Roman" w:hAnsi="Times New Roman"/>
          <w:sz w:val="20"/>
          <w:szCs w:val="20"/>
          <w:u w:val="single" w:color="auto"/>
          <w:color w:val="auto"/>
        </w:rPr>
        <w:t>Section 2.03(3)(b)</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219" w:name="page220"/>
    <w:bookmarkEnd w:id="219"/>
    <w:p>
      <w:pPr>
        <w:ind w:right="400" w:firstLine="1880"/>
        <w:spacing w:after="0" w:line="254" w:lineRule="auto"/>
        <w:tabs>
          <w:tab w:leader="none" w:pos="226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Appropriate Lender funds its Revolving Loan or L/C Advance pursuant to this </w:t>
      </w:r>
      <w:r>
        <w:rPr>
          <w:rFonts w:ascii="Times New Roman" w:cs="Times New Roman" w:eastAsia="Times New Roman" w:hAnsi="Times New Roman"/>
          <w:sz w:val="20"/>
          <w:szCs w:val="20"/>
          <w:u w:val="single" w:color="auto"/>
          <w:color w:val="auto"/>
        </w:rPr>
        <w:t>Section 2.03(3)</w:t>
      </w:r>
      <w:r>
        <w:rPr>
          <w:rFonts w:ascii="Times New Roman" w:cs="Times New Roman" w:eastAsia="Times New Roman" w:hAnsi="Times New Roman"/>
          <w:sz w:val="20"/>
          <w:szCs w:val="20"/>
          <w:color w:val="auto"/>
        </w:rPr>
        <w:t xml:space="preserve"> to reimburse the relevant Issuing Bank for any amount drawn under any Letter of Credit interest in respect of such Lender’s Applicable Percentage of such amount shall be solely for the account of the relevant Issuing Bank.</w:t>
      </w:r>
    </w:p>
    <w:p>
      <w:pPr>
        <w:spacing w:after="0" w:line="174" w:lineRule="exact"/>
        <w:rPr>
          <w:rFonts w:ascii="Times New Roman" w:cs="Times New Roman" w:eastAsia="Times New Roman" w:hAnsi="Times New Roman"/>
          <w:sz w:val="20"/>
          <w:szCs w:val="20"/>
          <w:color w:val="auto"/>
        </w:rPr>
      </w:pPr>
    </w:p>
    <w:p>
      <w:pPr>
        <w:ind w:right="240" w:firstLine="1880"/>
        <w:spacing w:after="0" w:line="254" w:lineRule="auto"/>
        <w:tabs>
          <w:tab w:leader="none" w:pos="226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Revolving Loans or L/C Advances to reimburse an Issuing Bank for amounts drawn under Letters of Credit as contemplated by this </w:t>
      </w:r>
      <w:r>
        <w:rPr>
          <w:rFonts w:ascii="Times New Roman" w:cs="Times New Roman" w:eastAsia="Times New Roman" w:hAnsi="Times New Roman"/>
          <w:sz w:val="20"/>
          <w:szCs w:val="20"/>
          <w:u w:val="single" w:color="auto"/>
          <w:color w:val="auto"/>
        </w:rPr>
        <w:t>Section 2.03(3)</w:t>
      </w:r>
      <w:r>
        <w:rPr>
          <w:rFonts w:ascii="Times New Roman" w:cs="Times New Roman" w:eastAsia="Times New Roman" w:hAnsi="Times New Roman"/>
          <w:sz w:val="20"/>
          <w:szCs w:val="20"/>
          <w:color w:val="auto"/>
        </w:rPr>
        <w:t>, shall be absolute and unconditional and shall not be affected by any circumstance, including:</w:t>
      </w:r>
    </w:p>
    <w:p>
      <w:pPr>
        <w:spacing w:after="0" w:line="174" w:lineRule="exact"/>
        <w:rPr>
          <w:rFonts w:ascii="Times New Roman" w:cs="Times New Roman" w:eastAsia="Times New Roman" w:hAnsi="Times New Roman"/>
          <w:sz w:val="20"/>
          <w:szCs w:val="20"/>
          <w:color w:val="auto"/>
        </w:rPr>
      </w:pPr>
    </w:p>
    <w:p>
      <w:pPr>
        <w:ind w:right="20" w:firstLine="1505"/>
        <w:spacing w:after="0" w:line="254" w:lineRule="auto"/>
        <w:tabs>
          <w:tab w:leader="none" w:pos="189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setoff, counterclaim, recoupment, defense or other right which such Lender may have against the relevant Issuing Bank (including any claim for improper amount or payment), the Administrative Agent, a Borrower or any other Person for any reason whatsoever;</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continuance of a Default; or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occurrence, event or condition, whether or not similar to any of the foregoing.</w:t>
      </w:r>
    </w:p>
    <w:p>
      <w:pPr>
        <w:spacing w:after="0" w:line="216"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No such making of an L/C Advance shall relieve or otherwise impair the obligation of the Borrower to reimburse the relevant Issuing Bank for the amount of any payment made by such Issuing Bank under any Letter of Credit, together with interest as provided herein.</w:t>
      </w:r>
    </w:p>
    <w:p>
      <w:pPr>
        <w:spacing w:after="0" w:line="159" w:lineRule="exact"/>
        <w:rPr>
          <w:sz w:val="20"/>
          <w:szCs w:val="20"/>
          <w:color w:val="auto"/>
        </w:rPr>
      </w:pPr>
    </w:p>
    <w:p>
      <w:pPr>
        <w:ind w:right="140" w:firstLine="1880"/>
        <w:spacing w:after="0" w:line="244" w:lineRule="auto"/>
        <w:tabs>
          <w:tab w:leader="none" w:pos="2268"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relevant Issuing Bank,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2.03(3)</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2.03(3)(b)</w:t>
      </w:r>
      <w:r>
        <w:rPr>
          <w:rFonts w:ascii="Times New Roman" w:cs="Times New Roman" w:eastAsia="Times New Roman" w:hAnsi="Times New Roman"/>
          <w:sz w:val="20"/>
          <w:szCs w:val="20"/>
          <w:color w:val="auto"/>
        </w:rPr>
        <w:t xml:space="preserve">,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Overnight Rate from time to time in effect. A certificate of the relevant Issuing Bank submitted to any Revolving Lender (through the Administrative Agent) with respect to any amounts owing under this </w:t>
      </w:r>
      <w:r>
        <w:rPr>
          <w:rFonts w:ascii="Times New Roman" w:cs="Times New Roman" w:eastAsia="Times New Roman" w:hAnsi="Times New Roman"/>
          <w:sz w:val="20"/>
          <w:szCs w:val="20"/>
          <w:u w:val="single" w:color="auto"/>
          <w:color w:val="auto"/>
        </w:rPr>
        <w:t>Section 2.03(3)(f)</w:t>
      </w:r>
      <w:r>
        <w:rPr>
          <w:rFonts w:ascii="Times New Roman" w:cs="Times New Roman" w:eastAsia="Times New Roman" w:hAnsi="Times New Roman"/>
          <w:sz w:val="20"/>
          <w:szCs w:val="20"/>
          <w:color w:val="auto"/>
        </w:rPr>
        <w:t xml:space="preserve"> shall be conclusive absent manifest error.</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0" w:firstLine="1880"/>
        <w:spacing w:after="0" w:line="244" w:lineRule="auto"/>
        <w:tabs>
          <w:tab w:leader="none" w:pos="2268"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after an Issuing Bank has made a payment under any Letter of Credit and has received from any Revolving Lender such Lender’s L/C Advance in respect of such payment in accordance with </w:t>
      </w:r>
      <w:r>
        <w:rPr>
          <w:rFonts w:ascii="Times New Roman" w:cs="Times New Roman" w:eastAsia="Times New Roman" w:hAnsi="Times New Roman"/>
          <w:sz w:val="20"/>
          <w:szCs w:val="20"/>
          <w:u w:val="single" w:color="auto"/>
          <w:color w:val="auto"/>
        </w:rPr>
        <w:t>Section 2.03(3)</w:t>
      </w:r>
      <w:r>
        <w:rPr>
          <w:rFonts w:ascii="Times New Roman" w:cs="Times New Roman" w:eastAsia="Times New Roman" w:hAnsi="Times New Roman"/>
          <w:sz w:val="20"/>
          <w:szCs w:val="20"/>
          <w:color w:val="auto"/>
        </w:rPr>
        <w:t>,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the amount received by the Administrative Agent.</w:t>
      </w:r>
    </w:p>
    <w:p>
      <w:pPr>
        <w:spacing w:after="0" w:line="18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an Issuing Bank pursuant to </w:t>
      </w:r>
      <w:r>
        <w:rPr>
          <w:rFonts w:ascii="Times New Roman" w:cs="Times New Roman" w:eastAsia="Times New Roman" w:hAnsi="Times New Roman"/>
          <w:sz w:val="20"/>
          <w:szCs w:val="20"/>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-2608580</wp:posOffset>
            </wp:positionV>
            <wp:extent cx="2514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u w:val="single" w:color="auto"/>
          <w:color w:val="auto"/>
        </w:rPr>
        <w:t>2.03(3)(a)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2.03(3)(b)</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(including pursuant to any settlement entered into by such Issuing Bank in its discretion), each Appropriate Lender shall pay to the Administrative Agent for the account of such Issuing Bank its Applicable Percentage thereof on demand of the Administrative Agent,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by such Lender, at a rate per annum equal to the Overnight Rate from time to time in effect. The Obligations of the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0"/>
          <w:szCs w:val="20"/>
          <w:color w:val="auto"/>
        </w:rPr>
        <w:t xml:space="preserve">Revolving Lenders under this </w:t>
      </w:r>
      <w:r>
        <w:rPr>
          <w:rFonts w:ascii="Times New Roman" w:cs="Times New Roman" w:eastAsia="Times New Roman" w:hAnsi="Times New Roman"/>
          <w:sz w:val="20"/>
          <w:szCs w:val="20"/>
          <w:u w:val="single" w:color="auto"/>
          <w:color w:val="auto"/>
        </w:rPr>
        <w:t>Section 2.03(4)(b)</w:t>
      </w:r>
      <w:r>
        <w:rPr>
          <w:rFonts w:ascii="Times New Roman" w:cs="Times New Roman" w:eastAsia="Times New Roman" w:hAnsi="Times New Roman"/>
          <w:sz w:val="20"/>
          <w:szCs w:val="20"/>
          <w:color w:val="auto"/>
        </w:rPr>
        <w:t xml:space="preserve"> shall survive the payment in full of the Obligations and the termination of this Agreement.</w:t>
      </w:r>
    </w:p>
    <w:p>
      <w:pPr>
        <w:spacing w:after="0" w:line="216" w:lineRule="exact"/>
        <w:rPr>
          <w:sz w:val="20"/>
          <w:szCs w:val="20"/>
          <w:color w:val="auto"/>
        </w:rPr>
      </w:pPr>
    </w:p>
    <w:p>
      <w:pPr>
        <w:jc w:val="both"/>
        <w:ind w:firstLine="1505"/>
        <w:spacing w:after="0" w:line="254" w:lineRule="auto"/>
        <w:tabs>
          <w:tab w:leader="none" w:pos="1893"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Borrower to reimburse the relevant Issuing Bank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74"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agreement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 relating thereto;</w:t>
      </w:r>
    </w:p>
    <w:p>
      <w:pPr>
        <w:spacing w:after="0" w:line="193" w:lineRule="exact"/>
        <w:rPr>
          <w:rFonts w:ascii="Times New Roman" w:cs="Times New Roman" w:eastAsia="Times New Roman" w:hAnsi="Times New Roman"/>
          <w:sz w:val="20"/>
          <w:szCs w:val="20"/>
          <w:color w:val="auto"/>
        </w:rPr>
      </w:pPr>
    </w:p>
    <w:p>
      <w:pPr>
        <w:jc w:val="both"/>
        <w:ind w:firstLine="1880"/>
        <w:spacing w:after="0" w:line="246" w:lineRule="auto"/>
        <w:tabs>
          <w:tab w:leader="none" w:pos="226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(including any claim for improper payment) or other right that any Loan Party may have at any time against any beneficiary or any transferee of such Letter of Credit (or any Person for whom any such beneficiary or any such transferee may be acting), the relevant Issuing Bank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jc w:val="both"/>
        <w:ind w:firstLine="1880"/>
        <w:spacing w:after="0" w:line="254" w:lineRule="auto"/>
        <w:tabs>
          <w:tab w:leader="none" w:pos="226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4" w:lineRule="exact"/>
        <w:rPr>
          <w:rFonts w:ascii="Times New Roman" w:cs="Times New Roman" w:eastAsia="Times New Roman" w:hAnsi="Times New Roman"/>
          <w:sz w:val="20"/>
          <w:szCs w:val="20"/>
          <w:color w:val="auto"/>
        </w:rPr>
      </w:pPr>
    </w:p>
    <w:p>
      <w:pPr>
        <w:jc w:val="both"/>
        <w:ind w:firstLine="1880"/>
        <w:spacing w:after="0" w:line="246" w:lineRule="auto"/>
        <w:tabs>
          <w:tab w:leader="none" w:pos="226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relevant Issuing Bank under such Letter of Credit against presentation of a draft or certificate that does not strictly comply with the terms of such Letter of Credit; or any payment made by the relevant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4" w:lineRule="exact"/>
        <w:rPr>
          <w:rFonts w:ascii="Times New Roman" w:cs="Times New Roman" w:eastAsia="Times New Roman" w:hAnsi="Times New Roman"/>
          <w:sz w:val="20"/>
          <w:szCs w:val="20"/>
          <w:color w:val="auto"/>
        </w:rPr>
      </w:pPr>
    </w:p>
    <w:p>
      <w:pPr>
        <w:ind w:right="20" w:firstLine="1880"/>
        <w:spacing w:after="0" w:line="295" w:lineRule="auto"/>
        <w:tabs>
          <w:tab w:leader="none" w:pos="2268"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exchange, release or non-perfection of any Collateral, or any release or amendment or waiver of or consent to departure from the Guaranty or any other guarantee, for all or any of the Obligations of any Loan Party in respect of such Letter of Credit;</w:t>
      </w:r>
    </w:p>
    <w:p>
      <w:pPr>
        <w:spacing w:after="0" w:line="137" w:lineRule="exact"/>
        <w:rPr>
          <w:rFonts w:ascii="Times New Roman" w:cs="Times New Roman" w:eastAsia="Times New Roman" w:hAnsi="Times New Roman"/>
          <w:sz w:val="19"/>
          <w:szCs w:val="19"/>
          <w:color w:val="auto"/>
        </w:rPr>
      </w:pPr>
    </w:p>
    <w:p>
      <w:pPr>
        <w:ind w:left="2280" w:hanging="400"/>
        <w:spacing w:after="0"/>
        <w:tabs>
          <w:tab w:leader="none" w:pos="228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affiliation between the Issuing Bank and the Administrative Agent; or</w:t>
      </w:r>
    </w:p>
    <w:p>
      <w:pPr>
        <w:spacing w:after="0" w:line="215" w:lineRule="exact"/>
        <w:rPr>
          <w:rFonts w:ascii="Times New Roman" w:cs="Times New Roman" w:eastAsia="Times New Roman" w:hAnsi="Times New Roman"/>
          <w:sz w:val="20"/>
          <w:szCs w:val="20"/>
          <w:color w:val="auto"/>
        </w:rPr>
      </w:pPr>
    </w:p>
    <w:p>
      <w:pPr>
        <w:ind w:right="20" w:firstLine="1880"/>
        <w:spacing w:after="0" w:line="269" w:lineRule="auto"/>
        <w:tabs>
          <w:tab w:leader="none" w:pos="226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any Loan Party;</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foregoing shall not excuse any Issuing Bank from liability to the Borrower to the extent of any direct damages (as opposed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consequential damages, claims in respect of which are waived by the Borrower to the extent permitted by applicable Law) suffered by the Borrower that are caused by acts or omissions by such Issuing Bank constituting gross negligence, bad faith or willful misconduct on the part of such Issuing Bank as determined in a final and non-appealable judgment by a court of competent jurisdiction.</w:t>
      </w:r>
    </w:p>
    <w:p>
      <w:pPr>
        <w:spacing w:after="0" w:line="180" w:lineRule="exact"/>
        <w:rPr>
          <w:sz w:val="20"/>
          <w:szCs w:val="20"/>
          <w:color w:val="auto"/>
        </w:rPr>
      </w:pPr>
    </w:p>
    <w:p>
      <w:pPr>
        <w:ind w:right="80" w:firstLine="1505"/>
        <w:spacing w:after="0" w:line="274" w:lineRule="auto"/>
        <w:tabs>
          <w:tab w:leader="none" w:pos="1893"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Role of Issuing Banks</w:t>
      </w:r>
      <w:r>
        <w:rPr>
          <w:rFonts w:ascii="Times New Roman" w:cs="Times New Roman" w:eastAsia="Times New Roman" w:hAnsi="Times New Roman"/>
          <w:sz w:val="19"/>
          <w:szCs w:val="19"/>
          <w:color w:val="auto"/>
        </w:rPr>
        <w:t>. Each Issuing Bank shall be entitled to rely upon, and shall be fully protected in relying upon, any note, writing, resolution, notice, statement, certificate or facsimile message, order or other document or telephone message signed, sent or made by any Person that such Issuing Bank reasonably believed to be genuine and correct and to have been signed, sent or made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1" w:name="page222"/>
    <w:bookmarkEnd w:id="221"/>
    <w:p>
      <w:pPr>
        <w:ind w:right="40"/>
        <w:spacing w:after="0" w:line="244" w:lineRule="auto"/>
        <w:rPr>
          <w:sz w:val="20"/>
          <w:szCs w:val="20"/>
          <w:color w:val="auto"/>
        </w:rPr>
      </w:pPr>
      <w:r>
        <w:rPr>
          <w:rFonts w:ascii="Times New Roman" w:cs="Times New Roman" w:eastAsia="Times New Roman" w:hAnsi="Times New Roman"/>
          <w:sz w:val="20"/>
          <w:szCs w:val="20"/>
          <w:color w:val="auto"/>
        </w:rPr>
        <w:t>by the proper Person, and, with respect to all legal matters pertaining to this Agreement and any other Loan Document and its duties hereunder and thereunder, upon advice of counsel selected by such Issuing Bank (which may include, at the Issuing Bank’s option, counsel of the Administrative Agent or the Borrower). Each Lender and the Borrower agree that, in paying any drawing under a Letter of Credit, the relevant Issuing Bank shall not have any responsibility to obtain any document (other than any documents expressly required by the Letter of Credit) or to ascertain or inquire as to the validity or accuracy of any such document or the authority of the Person executing or delivering any such document. None of the Issuing Banks, any Related Person of such Issuing Banks, nor any of the respective correspondents, participants or assignees of any Issuing Bank shall be liable to any Lender for:</w:t>
      </w:r>
    </w:p>
    <w:p>
      <w:pPr>
        <w:spacing w:after="0" w:line="186" w:lineRule="exact"/>
        <w:rPr>
          <w:sz w:val="20"/>
          <w:szCs w:val="20"/>
          <w:color w:val="auto"/>
        </w:rPr>
      </w:pPr>
    </w:p>
    <w:p>
      <w:pPr>
        <w:ind w:right="640" w:firstLine="1880"/>
        <w:spacing w:after="0" w:line="269" w:lineRule="auto"/>
        <w:tabs>
          <w:tab w:leader="none" w:pos="226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taken or omitted in connection herewith at the request or with the approval of the Lenders, the Required Lenders or the Required Facility Lenders in respect of the Revolving Commitments, as applicable;</w:t>
      </w:r>
    </w:p>
    <w:p>
      <w:pPr>
        <w:spacing w:after="0" w:line="159" w:lineRule="exact"/>
        <w:rPr>
          <w:rFonts w:ascii="Times New Roman" w:cs="Times New Roman" w:eastAsia="Times New Roman" w:hAnsi="Times New Roman"/>
          <w:sz w:val="20"/>
          <w:szCs w:val="20"/>
          <w:color w:val="auto"/>
        </w:rPr>
      </w:pPr>
    </w:p>
    <w:p>
      <w:pPr>
        <w:ind w:right="120" w:firstLine="1880"/>
        <w:spacing w:after="0" w:line="269" w:lineRule="auto"/>
        <w:tabs>
          <w:tab w:leader="none" w:pos="226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taken or omitted in the absence of gross negligence, bad faith or willful misconduct as determined in a final and non-appealable judgment by a court of competent jurisdiction; or</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due execution, effectiveness, validity or enforceability of any document or instrument related to any Letter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Credit or L/C Application.</w:t>
      </w:r>
    </w:p>
    <w:p>
      <w:pPr>
        <w:spacing w:after="0" w:line="194" w:lineRule="exact"/>
        <w:rPr>
          <w:sz w:val="20"/>
          <w:szCs w:val="20"/>
          <w:color w:val="auto"/>
        </w:rPr>
      </w:pPr>
    </w:p>
    <w:p>
      <w:pPr>
        <w:ind w:right="60" w:firstLine="1497"/>
        <w:spacing w:after="0" w:line="255" w:lineRule="auto"/>
        <w:rPr>
          <w:sz w:val="20"/>
          <w:szCs w:val="20"/>
          <w:color w:val="auto"/>
        </w:rPr>
      </w:pPr>
      <w:r>
        <w:rPr>
          <w:rFonts w:ascii="Times New Roman" w:cs="Times New Roman" w:eastAsia="Times New Roman" w:hAnsi="Times New Roman"/>
          <w:sz w:val="19"/>
          <w:szCs w:val="19"/>
          <w:color w:val="auto"/>
        </w:rPr>
        <w:t xml:space="preserve">The Borrower hereby assumes all risks of the acts or omissions of any beneficiary or transferee with respect to its use of any Letter of Credit;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this assumption is not intended to, and shall not, preclude the Borrower from pursuing such rights and remedies as it may have against the beneficiary or transferee at law or under any other agreement. None of the Issuing Banks, any Related Persons of such Issuing Banks, nor any of the respective correspondents, participants or assignees of any Issuing Bank, shall be liable or responsible for any of the matters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2.03(5)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anything in such clauses to the contrary notwithstanding, the Borrower may have a claim against an Issuing Bank, and such Issuing Bank may be liable to the Borrower, to the extent, but only to the extent, of any direct, as opposed to consequential, damages suffered by the Borrower which the Borrower proves were caused by such Issuing Bank’s willful misconduct, bad faith or gross negligence or such Issuing Bank’s willful or grossly negligent, or bad faith, failure to pay under any Letter of Credit after the presentation to it by the beneficiary of document(s) strictly complying with the terms and conditions of a Letter of Credit, in each case as determined in a final and non-appealable judgment by a court of competent jurisdiction.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9" w:lineRule="exact"/>
        <w:rPr>
          <w:sz w:val="20"/>
          <w:szCs w:val="20"/>
          <w:color w:val="auto"/>
        </w:rPr>
      </w:pPr>
    </w:p>
    <w:p>
      <w:pPr>
        <w:ind w:right="2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Each Revolving Lender shall, ratably in accordance with its Applicable Percentage, indemnify each Issuing Bank, its Related Persons and their respective directors, officers, agents and employees (to the extent not reimbursed by the Borrower) against any cost, expense (including reasonable counsel fees and disbursements), claim, demand, action, loss or liability (except such as result from such indemnitees’ willful misconduct, bad faith or gross negligence or such Issuing Bank’s willful or grossly negligent, or bad faith, failure to pay under any Letter of Credit after the presentation to it by the beneficiary of documents(s) strictly complying with the terms and conditions of a Letter of Credit in each case as determined in a final and non-appealable judgment by a court of competent jurisdiction) that such indemnitees may suffer or incur in connection with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any action taken or omitted to be taken by such indemnitees hereunder.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2" w:name="page223"/>
    <w:bookmarkEnd w:id="222"/>
    <w:p>
      <w:pPr>
        <w:ind w:left="1900" w:hanging="395"/>
        <w:spacing w:after="0"/>
        <w:tabs>
          <w:tab w:leader="none" w:pos="19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2.17(1)(d)</w:t>
      </w:r>
      <w:r>
        <w:rPr>
          <w:rFonts w:ascii="Times New Roman" w:cs="Times New Roman" w:eastAsia="Times New Roman" w:hAnsi="Times New Roman"/>
          <w:sz w:val="20"/>
          <w:szCs w:val="20"/>
          <w:color w:val="auto"/>
        </w:rPr>
        <w:t>, if,</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any L/C Expiration Date, any applicable Letter of Credit may for any reason remain outstanding and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partially or wholly undrawn,</w:t>
      </w:r>
    </w:p>
    <w:p>
      <w:pPr>
        <w:spacing w:after="0" w:line="193" w:lineRule="exact"/>
        <w:rPr>
          <w:rFonts w:ascii="Times New Roman" w:cs="Times New Roman" w:eastAsia="Times New Roman" w:hAnsi="Times New Roman"/>
          <w:sz w:val="20"/>
          <w:szCs w:val="20"/>
          <w:color w:val="auto"/>
        </w:rPr>
      </w:pPr>
    </w:p>
    <w:p>
      <w:pPr>
        <w:ind w:right="100" w:firstLine="1880"/>
        <w:spacing w:after="0" w:line="269" w:lineRule="auto"/>
        <w:tabs>
          <w:tab w:leader="none" w:pos="2268"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of Default occurs and is continuing and the Administrative Agent, upon the direction of the Required Revolving Lenders, requires the Borrower to Cash Collateralize the L/C Obligations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Event of Default set forth under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occurs and is continuing,</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 xml:space="preserve">the Borrower will Cash Collateralize, or cause to be Cash Collateralized, the then Outstanding Amount of all relevant L/C Obligations (in an amount equal to 103% of such Outstanding Amount determined as of the date of such Event of Default or the applicable L/C Expiration Date, as the case may be), and shall do so not later than 2:00 p.m., New York time, on (i) in the case of the immediately preceding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(x) the Business Day that the Borrower receives notice thereof, if such notice is received on such day prior to 12:00 p.m., New York time, or (y) if </w:t>
      </w:r>
      <w:r>
        <w:rPr>
          <w:rFonts w:ascii="Times New Roman" w:cs="Times New Roman" w:eastAsia="Times New Roman" w:hAnsi="Times New Roman"/>
          <w:sz w:val="19"/>
          <w:szCs w:val="19"/>
          <w:u w:val="single" w:color="auto"/>
          <w:color w:val="auto"/>
        </w:rPr>
        <w:t>clause (x)</w:t>
      </w:r>
      <w:r>
        <w:rPr>
          <w:rFonts w:ascii="Times New Roman" w:cs="Times New Roman" w:eastAsia="Times New Roman" w:hAnsi="Times New Roman"/>
          <w:sz w:val="19"/>
          <w:szCs w:val="19"/>
          <w:color w:val="auto"/>
        </w:rPr>
        <w:t xml:space="preserve"> above does not apply, the Business Day immediately following the day that the Borrower receives such notice and</w:t>
      </w:r>
    </w:p>
    <w:p>
      <w:pPr>
        <w:spacing w:after="0" w:line="4" w:lineRule="exact"/>
        <w:rPr>
          <w:sz w:val="20"/>
          <w:szCs w:val="20"/>
          <w:color w:val="auto"/>
        </w:rPr>
      </w:pPr>
    </w:p>
    <w:p>
      <w:pPr>
        <w:ind w:firstLine="8"/>
        <w:spacing w:after="0" w:line="239" w:lineRule="auto"/>
        <w:tabs>
          <w:tab w:leader="none" w:pos="29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immediately preceding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the Business Day on which an Event of Default set forth under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occurs or, if such day is not a Business Day, the Business Day immediately succeeding such day. At any time that there shall exist a Defaulting Lender, immediately upon the request of the Administrative Agent or the applicable Issuing Bank, the Borrower will Cash Collateralize all Fronting Exposure (after giving effect to </w:t>
      </w:r>
      <w:r>
        <w:rPr>
          <w:rFonts w:ascii="Times New Roman" w:cs="Times New Roman" w:eastAsia="Times New Roman" w:hAnsi="Times New Roman"/>
          <w:sz w:val="20"/>
          <w:szCs w:val="20"/>
          <w:u w:val="single" w:color="auto"/>
          <w:color w:val="auto"/>
        </w:rPr>
        <w:t>Section 2.17(1)(d)</w:t>
      </w:r>
      <w:r>
        <w:rPr>
          <w:rFonts w:ascii="Times New Roman" w:cs="Times New Roman" w:eastAsia="Times New Roman" w:hAnsi="Times New Roman"/>
          <w:sz w:val="20"/>
          <w:szCs w:val="20"/>
          <w:color w:val="auto"/>
        </w:rPr>
        <w:t xml:space="preserve"> and any Cash Collateral provided by the Defaulting Lender). The Borrower hereby grants to the Administrative Agent, for the benefit of the Issuing Banks and the Revolving Lenders, a security interest in all such Cash Collateral. Cash Collateral shall be maintained in blocked accounts at the Administrative Agent and may be invested in readily available Cash Equivalents selected by the Administrative Agent in its sole discretion. If at any time the Administrative Agent determines that any funds held as Cash Collateral are expressly subject to any right or claim of any Person other than the Loan Parties or the Administrative Agent (in its capacity as the depository bank and on behalf of the Secured Parties) or that the total amount of such funds is less than 103% of the aggregate Outstanding Amount of all relevant L/C Obligations, the Borrower will, forthwith upon demand by the Administrative Agent, pay, or cause to be paid, to the Administrative Agent, as additional funds to be deposited and held in the deposit accounts at the Administrative Agent as aforesaid, an amount equal to the excess of (a) 103% of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Issuing Bank. To the extent the amount of any Cash Collateral exceeds 103% of the then Outstanding Amount of such relevant L/C Obligations and so long as no Event of Default has occurred and is continuing, the excess shall promptly be refunded to the Borrower. To the extent any Event of Default giving rise to the requirement to Cash Collateralize any Letter of Credit pursuant to this </w:t>
      </w:r>
      <w:r>
        <w:rPr>
          <w:rFonts w:ascii="Times New Roman" w:cs="Times New Roman" w:eastAsia="Times New Roman" w:hAnsi="Times New Roman"/>
          <w:sz w:val="20"/>
          <w:szCs w:val="20"/>
          <w:u w:val="single" w:color="auto"/>
          <w:color w:val="auto"/>
        </w:rPr>
        <w:t>Section 2.03(7)</w:t>
      </w:r>
      <w:r>
        <w:rPr>
          <w:rFonts w:ascii="Times New Roman" w:cs="Times New Roman" w:eastAsia="Times New Roman" w:hAnsi="Times New Roman"/>
          <w:sz w:val="20"/>
          <w:szCs w:val="20"/>
          <w:color w:val="auto"/>
        </w:rPr>
        <w:t xml:space="preserve"> is cured or otherwise waived, then so long as no other Event of Default has occurred and is continuing, the amount of any Cash Collateral pledged to Cash Collateralize such Letter of Credit shall promptly be refunded to the Borrower.</w:t>
      </w:r>
    </w:p>
    <w:p>
      <w:pPr>
        <w:spacing w:after="0" w:line="203" w:lineRule="exact"/>
        <w:rPr>
          <w:rFonts w:ascii="Times New Roman" w:cs="Times New Roman" w:eastAsia="Times New Roman" w:hAnsi="Times New Roman"/>
          <w:sz w:val="20"/>
          <w:szCs w:val="20"/>
          <w:color w:val="auto"/>
        </w:rPr>
      </w:pPr>
    </w:p>
    <w:p>
      <w:pPr>
        <w:ind w:firstLine="1505"/>
        <w:spacing w:after="0" w:line="246" w:lineRule="auto"/>
        <w:tabs>
          <w:tab w:leader="none" w:pos="1893"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The Borrower shall pay to the Administrative Agent, for the account of each Revolving Lender for the applicable Revolving Facility in accordance with its Applicable Percentage, a Letter of Credit fee for each Letter of Credit issued pursuant to this Agreement equal to the Applicable Rate set forth in the “Term Benchmark Rate Loans and Letter of Credit Fees” column of the chart in the definition of “Applicable Rate” times the daily maximum amount then available to be drawn under such Letter of Credit (whether or not such maximum amount is then in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3" w:name="page224"/>
    <w:bookmarkEnd w:id="223"/>
    <w:p>
      <w:pPr>
        <w:ind w:right="60"/>
        <w:spacing w:after="0" w:line="242" w:lineRule="auto"/>
        <w:rPr>
          <w:sz w:val="20"/>
          <w:szCs w:val="20"/>
          <w:color w:val="auto"/>
        </w:rPr>
      </w:pPr>
      <w:r>
        <w:rPr>
          <w:rFonts w:ascii="Times New Roman" w:cs="Times New Roman" w:eastAsia="Times New Roman" w:hAnsi="Times New Roman"/>
          <w:sz w:val="20"/>
          <w:szCs w:val="20"/>
          <w:color w:val="auto"/>
        </w:rPr>
        <w:t xml:space="preserve">under such Letter of Credit if such maximum amount decreases or increases periodically pursuant to the terms of such Letter of Credit);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any Letter of Credit fees otherwise payable for the account of a Defaulting Lender with respect to any Letter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Credit as to which such Defaulting Lender has not provided Cash Collateral satisfactory to the applicable Issuing Bank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payable, to the maximum extent permitted by applicable Law, to the other Lenders in accordance with the upward adjustments in their respective Applicable Percentages allocable to such Letter of Credit pursuant to </w:t>
      </w:r>
      <w:r>
        <w:rPr>
          <w:rFonts w:ascii="Times New Roman" w:cs="Times New Roman" w:eastAsia="Times New Roman" w:hAnsi="Times New Roman"/>
          <w:sz w:val="20"/>
          <w:szCs w:val="20"/>
          <w:u w:val="single" w:color="auto"/>
          <w:color w:val="auto"/>
        </w:rPr>
        <w:t>Section 2.17(1)(d)</w:t>
      </w:r>
      <w:r>
        <w:rPr>
          <w:rFonts w:ascii="Times New Roman" w:cs="Times New Roman" w:eastAsia="Times New Roman" w:hAnsi="Times New Roman"/>
          <w:sz w:val="20"/>
          <w:szCs w:val="20"/>
          <w:color w:val="auto"/>
        </w:rPr>
        <w:t>, with the balance of such fee, if any, payable to the applicable Issuing Bank for their own accounts. Such Letter of Credit fees shall be computed on a quarterly basis in arrears on the basis of a 360-day year and actual days elapsed. Such fees shall be due and payable on the last Business Day of each March, June, September and December, commencing with the first such date to occur after the issuance of Letter of Credit, on the L/C Expiration Date and thereafter on demand. If there is any change in the Applicable Rate set forth in the “Term Benchmark Rate Loans and Letter of Credit Fees” column of the chart in the definition of “Applicable Rate” during any quarter, the daily maximum amount of each Letter of Credit shall be computed and multiplied by the Applicable Rate separately for each period during such quarter that such Applicable Rate was in effect.</w:t>
      </w:r>
    </w:p>
    <w:p>
      <w:pPr>
        <w:spacing w:after="0" w:line="187" w:lineRule="exact"/>
        <w:rPr>
          <w:sz w:val="20"/>
          <w:szCs w:val="20"/>
          <w:color w:val="auto"/>
        </w:rPr>
      </w:pPr>
    </w:p>
    <w:p>
      <w:pPr>
        <w:ind w:firstLine="1505"/>
        <w:spacing w:after="0" w:line="242" w:lineRule="auto"/>
        <w:tabs>
          <w:tab w:leader="none" w:pos="1893"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Issuing Banks</w:t>
      </w:r>
      <w:r>
        <w:rPr>
          <w:rFonts w:ascii="Times New Roman" w:cs="Times New Roman" w:eastAsia="Times New Roman" w:hAnsi="Times New Roman"/>
          <w:sz w:val="20"/>
          <w:szCs w:val="20"/>
          <w:color w:val="auto"/>
        </w:rPr>
        <w:t>. The Borrower shall pay directly to each Issuing Bank for its own account a fronting fee with respect to each Letter of Credit issued by such Issuing Bank equal to 0.125% per annum (or such other lower amount as may be mutually agreed by the Borrower and the applicable Issuing Bank) of the maximum amount then available to be drawn under such Letter of Credit (whether or not such maximum amount is then in effect under such Letter of Credit if such maximum amount increases or decreases periodically pursuant to the terms of such Letter of Credit) or such lesser fee as may be agreed with such Issuing Bank. Such fronting fees shall be computed on a quarterly basis in arrears on the basis of a 360-day year and actual days elapsed. Such fronting fees shall be due and payable on the last Business Day of each March, June, September and December, commencing with the first such date to occur after the issuance of such Letter of Credit, on the L/C Expiration Date and thereafter on demand. In addition, the Borrower shall pay, or cause to be paid, directly to each Issuing Bank for its own account with respect to each Letter of Credit issued by such Issuing Bank the customary issuance, presentation, amendment and other processing and administrative fees, and other standard costs and charges, of such Issuing Bank relating to letters of credit as from time to time in effect. Such customary fees and standard costs and charges are due and payable within ten (10) Business Days of demand and are nonrefundable.</w:t>
      </w:r>
    </w:p>
    <w:p>
      <w:pPr>
        <w:spacing w:after="0" w:line="187" w:lineRule="exact"/>
        <w:rPr>
          <w:rFonts w:ascii="Times New Roman" w:cs="Times New Roman" w:eastAsia="Times New Roman" w:hAnsi="Times New Roman"/>
          <w:sz w:val="20"/>
          <w:szCs w:val="20"/>
          <w:color w:val="auto"/>
        </w:rPr>
      </w:pPr>
    </w:p>
    <w:p>
      <w:pPr>
        <w:ind w:right="40" w:firstLine="1505"/>
        <w:spacing w:after="0" w:line="245" w:lineRule="auto"/>
        <w:tabs>
          <w:tab w:leader="none" w:pos="1893" w:val="left"/>
        </w:tabs>
        <w:numPr>
          <w:ilvl w:val="0"/>
          <w:numId w:val="1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Conflict with L/C Application</w:t>
      </w:r>
      <w:r>
        <w:rPr>
          <w:rFonts w:ascii="Times New Roman" w:cs="Times New Roman" w:eastAsia="Times New Roman" w:hAnsi="Times New Roman"/>
          <w:sz w:val="20"/>
          <w:szCs w:val="20"/>
          <w:color w:val="auto"/>
        </w:rPr>
        <w:t>. Notwithstanding anything else to the contrary in this Agreement or any L/C Application, in the event of any conflict between the terms hereof and the terms of any L/C Application, the terms hereof shall control; provided, that, all rights granted to Capital One under the Master Agreement for Standby Letters of Credit and the Master Agreement for Documentary Letters of Credit shall be cumulative and shall be supplementary of and in addition to those granted or available to Capital One under this Agreement and other Loan Documents or applicable Law and nothing herein or within the Master Agreement for Standby Letters of Credit and the Master Agreement for Documentary Letters of Credit shall be construed as limiting any such other right.</w:t>
      </w:r>
    </w:p>
    <w:p>
      <w:pPr>
        <w:spacing w:after="0" w:line="184" w:lineRule="exact"/>
        <w:rPr>
          <w:rFonts w:ascii="Times New Roman" w:cs="Times New Roman" w:eastAsia="Times New Roman" w:hAnsi="Times New Roman"/>
          <w:sz w:val="20"/>
          <w:szCs w:val="20"/>
          <w:u w:val="single" w:color="auto"/>
          <w:color w:val="auto"/>
        </w:rPr>
      </w:pPr>
    </w:p>
    <w:p>
      <w:pPr>
        <w:ind w:right="120" w:firstLine="1505"/>
        <w:spacing w:after="0" w:line="249" w:lineRule="auto"/>
        <w:tabs>
          <w:tab w:leader="none" w:pos="1893" w:val="left"/>
        </w:tabs>
        <w:numPr>
          <w:ilvl w:val="0"/>
          <w:numId w:val="1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Addition of an Issuing Bank</w:t>
      </w:r>
      <w:r>
        <w:rPr>
          <w:rFonts w:ascii="Times New Roman" w:cs="Times New Roman" w:eastAsia="Times New Roman" w:hAnsi="Times New Roman"/>
          <w:sz w:val="20"/>
          <w:szCs w:val="20"/>
          <w:color w:val="auto"/>
        </w:rPr>
        <w:t>. There may be one or more Issuing Banks under this Agreement from time to time. After the Closing Date, a Revolving Lender reasonably acceptable to the Borrower and the Administrative Agent may become an additional Issuing Bank hereunder pursuant to a written agreement among the Borrower, the Administrative Agent and such Revolving Lender. The Administrative Agent shall notify the Revolving Lenders of any such additional Issuing Bank.</w:t>
      </w:r>
    </w:p>
    <w:p>
      <w:pPr>
        <w:spacing w:after="0" w:line="179" w:lineRule="exact"/>
        <w:rPr>
          <w:rFonts w:ascii="Times New Roman" w:cs="Times New Roman" w:eastAsia="Times New Roman" w:hAnsi="Times New Roman"/>
          <w:sz w:val="20"/>
          <w:szCs w:val="20"/>
          <w:u w:val="single" w:color="auto"/>
          <w:color w:val="auto"/>
        </w:rPr>
      </w:pPr>
    </w:p>
    <w:p>
      <w:pPr>
        <w:ind w:right="340" w:firstLine="1505"/>
        <w:spacing w:after="0" w:line="254" w:lineRule="auto"/>
        <w:tabs>
          <w:tab w:leader="none" w:pos="1893"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Related to Extended Revolving Commitments</w:t>
      </w:r>
      <w:r>
        <w:rPr>
          <w:rFonts w:ascii="Times New Roman" w:cs="Times New Roman" w:eastAsia="Times New Roman" w:hAnsi="Times New Roman"/>
          <w:sz w:val="20"/>
          <w:szCs w:val="20"/>
          <w:color w:val="auto"/>
        </w:rPr>
        <w:t>. If the L/C Expiration Date in respect of any Class of Revolving Commitments occurs prior to the expiry date of any Letter of Credit, then (a) if consented to by the Issuing Bank which issued such Letter of Credit and the Revolving</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4" w:name="page225"/>
    <w:bookmarkEnd w:id="224"/>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Lenders under the applicable non terminating Class, if one or more other Classes of Revolving Commitments in respect of which the L/C Expiration Date shall not have so occurred are then in effect, such Letters of Credit for which consent has been obtained shall automatically be deemed to have been issued (including for purposes of the obligations of the Revolving Lenders to purchase participations therein and to make Revolving Loans and payments in respect thereof pursuant to </w:t>
      </w:r>
      <w:r>
        <w:rPr>
          <w:rFonts w:ascii="Times New Roman" w:cs="Times New Roman" w:eastAsia="Times New Roman" w:hAnsi="Times New Roman"/>
          <w:sz w:val="20"/>
          <w:szCs w:val="20"/>
          <w:u w:val="single" w:color="auto"/>
          <w:color w:val="auto"/>
        </w:rPr>
        <w:t>Sections 2.03(3)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under (and ratably participated in by Revolving Lenders pursuant to) the Revolving Commitments in respect of such non-terminating Classes up to an aggregate amount not to exceed the aggregate principal amount of the unutilized Revolving Commitments thereunder at such time (it being understood that no partial face amount of any Letter of Credit may be so reallocated) and (b) to the extent not reallocated pursuant to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and unless provisions reasonably satisfactory to the applicable Issuing Bank for the treatment of such Letter of Credit as a letter of credit under a successor credit facility have been agreed upon, the Borrower shall, on or prior to the applicable Maturity Date, cause all such Letters of Credit to be replaced and returned to the applicable Issuing Bank undrawn and marked “cancelled” or to the extent that the Borrower is unable to so replace and return any Letter(s) of Credit, such Letter(s) of Credit shall be backstopped by a letter of credit reasonably satisfactory to the applicable Issuing Bank or Administrative Agent (as applicable) or the Borrower shall Cash Collateralize any such Letter of Credit in accordance with </w:t>
      </w:r>
      <w:r>
        <w:rPr>
          <w:rFonts w:ascii="Times New Roman" w:cs="Times New Roman" w:eastAsia="Times New Roman" w:hAnsi="Times New Roman"/>
          <w:sz w:val="20"/>
          <w:szCs w:val="20"/>
          <w:u w:val="single" w:color="auto"/>
          <w:color w:val="auto"/>
        </w:rPr>
        <w:t>Section 2.03(7)</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right="80" w:firstLine="1505"/>
        <w:spacing w:after="0" w:line="249" w:lineRule="auto"/>
        <w:tabs>
          <w:tab w:leader="none" w:pos="1893"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Reports</w:t>
      </w:r>
      <w:r>
        <w:rPr>
          <w:rFonts w:ascii="Times New Roman" w:cs="Times New Roman" w:eastAsia="Times New Roman" w:hAnsi="Times New Roman"/>
          <w:sz w:val="20"/>
          <w:szCs w:val="20"/>
          <w:color w:val="auto"/>
        </w:rPr>
        <w:t xml:space="preserve">. For so long as any Letter of Credit issued by an Issuing Bank that is not the Administrative Agent is outstanding, such Issuing Bank shall deliver to the Administrative Agent on the last Business Day of each calendar month, and on each date that an L/C Credit Extension occurs with respect to any such Letter of Credit, a report substantially in the form of </w:t>
      </w:r>
      <w:r>
        <w:rPr>
          <w:rFonts w:ascii="Times New Roman" w:cs="Times New Roman" w:eastAsia="Times New Roman" w:hAnsi="Times New Roman"/>
          <w:sz w:val="20"/>
          <w:szCs w:val="20"/>
          <w:u w:val="single" w:color="auto"/>
          <w:color w:val="auto"/>
        </w:rPr>
        <w:t>Exhibit R-1</w:t>
      </w:r>
      <w:r>
        <w:rPr>
          <w:rFonts w:ascii="Times New Roman" w:cs="Times New Roman" w:eastAsia="Times New Roman" w:hAnsi="Times New Roman"/>
          <w:sz w:val="20"/>
          <w:szCs w:val="20"/>
          <w:color w:val="auto"/>
        </w:rPr>
        <w:t>, appropriately completed with the information for every outstanding Letter of Credit issued by such Issuing Bank.</w:t>
      </w:r>
    </w:p>
    <w:p>
      <w:pPr>
        <w:spacing w:after="0" w:line="179" w:lineRule="exact"/>
        <w:rPr>
          <w:rFonts w:ascii="Times New Roman" w:cs="Times New Roman" w:eastAsia="Times New Roman" w:hAnsi="Times New Roman"/>
          <w:sz w:val="20"/>
          <w:szCs w:val="20"/>
          <w:color w:val="auto"/>
        </w:rPr>
      </w:pPr>
    </w:p>
    <w:p>
      <w:pPr>
        <w:ind w:firstLine="1505"/>
        <w:spacing w:after="0" w:line="263" w:lineRule="auto"/>
        <w:tabs>
          <w:tab w:leader="none" w:pos="1893"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Letters of Credit Issued for Holdings and Subsidiaries</w:t>
      </w:r>
      <w:r>
        <w:rPr>
          <w:rFonts w:ascii="Times New Roman" w:cs="Times New Roman" w:eastAsia="Times New Roman" w:hAnsi="Times New Roman"/>
          <w:sz w:val="19"/>
          <w:szCs w:val="19"/>
          <w:color w:val="auto"/>
        </w:rPr>
        <w:t>. Notwithstanding that a Letter of Credit issued or outstanding hereunder is in support of any obligations of, or is for the account of, Holdings or a Subsidiary of the Borrower, the Borrower shall be obligated to reimburse, or cause to be reimbursed, the applicable Issuing Bank hereunder for any and all drawings under such Letter of Credit. The Borrower hereby acknowledges that the issuance of Letters of Credit for the account of Holdings or any Subsidiary inures to the benefit of the Borrower, and that the Borrower’s businesses derives substantial benefits from the businesses of Holdings and each Subsidiary.</w:t>
      </w:r>
    </w:p>
    <w:p>
      <w:pPr>
        <w:spacing w:after="0" w:line="166" w:lineRule="exact"/>
        <w:rPr>
          <w:rFonts w:ascii="Times New Roman" w:cs="Times New Roman" w:eastAsia="Times New Roman" w:hAnsi="Times New Roman"/>
          <w:sz w:val="19"/>
          <w:szCs w:val="19"/>
          <w:color w:val="auto"/>
        </w:rPr>
      </w:pPr>
    </w:p>
    <w:p>
      <w:pPr>
        <w:ind w:right="120" w:firstLine="1505"/>
        <w:spacing w:after="0" w:line="254" w:lineRule="auto"/>
        <w:tabs>
          <w:tab w:leader="none" w:pos="1893"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w:t>
      </w:r>
      <w:r>
        <w:rPr>
          <w:rFonts w:ascii="Times New Roman" w:cs="Times New Roman" w:eastAsia="Times New Roman" w:hAnsi="Times New Roman"/>
          <w:sz w:val="20"/>
          <w:szCs w:val="20"/>
          <w:color w:val="auto"/>
        </w:rPr>
        <w:t>. Subject to the terms of the Master Agreement for Standby Letters of Credit and unless otherwise expressly agreed by the relevant Issuing Bank and the Borrower when a Letter of Credit is issued, the rules of the ISP shall apply to each standby Letter of Credit.</w:t>
      </w:r>
    </w:p>
    <w:p>
      <w:pPr>
        <w:spacing w:after="0" w:line="17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9"/>
          <w:szCs w:val="19"/>
          <w:color w:val="auto"/>
        </w:rPr>
        <w:t>Swing Line Loans.</w:t>
      </w:r>
    </w:p>
    <w:p>
      <w:pPr>
        <w:spacing w:after="0" w:line="216" w:lineRule="exact"/>
        <w:rPr>
          <w:sz w:val="20"/>
          <w:szCs w:val="20"/>
          <w:color w:val="auto"/>
        </w:rPr>
      </w:pPr>
    </w:p>
    <w:p>
      <w:pPr>
        <w:ind w:right="100" w:firstLine="1505"/>
        <w:spacing w:after="0" w:line="257" w:lineRule="auto"/>
        <w:tabs>
          <w:tab w:leader="none" w:pos="1893"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Swing Line</w:t>
      </w:r>
      <w:r>
        <w:rPr>
          <w:rFonts w:ascii="Times New Roman" w:cs="Times New Roman" w:eastAsia="Times New Roman" w:hAnsi="Times New Roman"/>
          <w:sz w:val="19"/>
          <w:szCs w:val="19"/>
          <w:color w:val="auto"/>
        </w:rPr>
        <w:t>. Subject to the terms and conditions set forth herein, the Swing Line Lender agrees to make revolving credit loans in Dollars to the Borrower (each such loan, a “</w:t>
      </w:r>
      <w:r>
        <w:rPr>
          <w:rFonts w:ascii="Times New Roman" w:cs="Times New Roman" w:eastAsia="Times New Roman" w:hAnsi="Times New Roman"/>
          <w:sz w:val="19"/>
          <w:szCs w:val="19"/>
          <w:b w:val="1"/>
          <w:bCs w:val="1"/>
          <w:color w:val="auto"/>
        </w:rPr>
        <w:t>Swing Line Loan</w:t>
      </w:r>
      <w:r>
        <w:rPr>
          <w:rFonts w:ascii="Times New Roman" w:cs="Times New Roman" w:eastAsia="Times New Roman" w:hAnsi="Times New Roman"/>
          <w:sz w:val="19"/>
          <w:szCs w:val="19"/>
          <w:color w:val="auto"/>
        </w:rPr>
        <w:t xml:space="preserve">”), from time to time on any Business Day during the period beginning on the Business Day after the Closing Date and until the Maturity Date of the Revolving Facility in an aggregate amount not to exceed at any time outstanding the amount of the Swing Line Sublimit, notwithstanding the fact that such Swing Line Loans, when aggregated with the Applicable Percentage of the Outstanding Amount of Revolving Loans and L/C Obligations of the Lender acting as Swing Line Lender, may exceed the amount of such Swing Line Lender’s Revolving Commitment;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after giving effect to any Swing Line Loan, the aggregate Revolving Exposure shall not exceed the aggregate Revolving Commitments. Within the foregoing limits, and subject to the other terms and conditions hereof, the Borrower may 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prepay under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reborrow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Each Swing Line Loan will be obtained or maintained as a Base Rate Loan. Immediately</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5" w:name="page226"/>
    <w:bookmarkEnd w:id="225"/>
    <w:p>
      <w:pPr>
        <w:ind w:right="300"/>
        <w:spacing w:after="0" w:line="254" w:lineRule="auto"/>
        <w:rPr>
          <w:sz w:val="20"/>
          <w:szCs w:val="20"/>
          <w:color w:val="auto"/>
        </w:rPr>
      </w:pPr>
      <w:r>
        <w:rPr>
          <w:rFonts w:ascii="Times New Roman" w:cs="Times New Roman" w:eastAsia="Times New Roman" w:hAnsi="Times New Roman"/>
          <w:sz w:val="20"/>
          <w:szCs w:val="20"/>
          <w:color w:val="auto"/>
        </w:rPr>
        <w:t>upon the making of a Swing Line Loan, each Revolving Lender shall be deemed to, and hereby irrevocably and unconditionally agrees to, purchase from the Swing Line Lender a risk participation in such Swing Line Loan in an amount equal to the product of such Lender’s Applicable Percentage times the amount of such Swing Line Loan.</w:t>
      </w:r>
    </w:p>
    <w:p>
      <w:pPr>
        <w:spacing w:after="0" w:line="174" w:lineRule="exact"/>
        <w:rPr>
          <w:sz w:val="20"/>
          <w:szCs w:val="20"/>
          <w:color w:val="auto"/>
        </w:rPr>
      </w:pPr>
    </w:p>
    <w:p>
      <w:pPr>
        <w:ind w:firstLine="1505"/>
        <w:spacing w:after="0" w:line="241" w:lineRule="auto"/>
        <w:tabs>
          <w:tab w:leader="none" w:pos="1893"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Swing Line Borrowing shall be made upon the Borrower’s irrevocable notice to the Swing Line Lender, which may be given by a Swing Line Loan Notice. Each such notice must be received by the Swing Line Lender not later than 3:00 p.m., New York time, on the requested Borrowing date (or such later time as agreed by the Swing Line Lender) and shall specify (a) the amount to be borrowed, which shall be a minimum of $100,000 and (b) the requested Borrowing date, which shall be a Business Day. Unless the Swing Line Lender has received notice (in writing) from the Administrative Agent (including at the request of any Revolving Lender) or the Required Lenders prior to 10:00 a.m., New York time, on the date of the proposed Swing Line Borrowing (i) directing the Swing Line Lender not to make such Swing Line Loan as a result of the limitations set forth in the proviso to the first sentence of </w:t>
      </w:r>
      <w:r>
        <w:rPr>
          <w:rFonts w:ascii="Times New Roman" w:cs="Times New Roman" w:eastAsia="Times New Roman" w:hAnsi="Times New Roman"/>
          <w:sz w:val="20"/>
          <w:szCs w:val="20"/>
          <w:u w:val="single" w:color="auto"/>
          <w:color w:val="auto"/>
        </w:rPr>
        <w:t>Section 2.04(1)</w:t>
      </w:r>
      <w:r>
        <w:rPr>
          <w:rFonts w:ascii="Times New Roman" w:cs="Times New Roman" w:eastAsia="Times New Roman" w:hAnsi="Times New Roman"/>
          <w:sz w:val="20"/>
          <w:szCs w:val="20"/>
          <w:color w:val="auto"/>
        </w:rPr>
        <w:t xml:space="preserve"> or (ii)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3:30 p.m., New York time, on the Borrowing date specified in such Swing Line Loan Notice, make the amount of its Swing Line Loan available to the Borrower. Notwithstanding anything to the contrary contained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or elsewhere in this Agreement, the Swing Line Lender shall not be obligated to make any Swing Line Loan at a time when a Revolving Lender is a Defaulting Lender unless the Swing Line Lender has entered into arrangements reasonably satisfactory to it and the Borrower to eliminate the Swing Line Lender’s Fronting Exposure (after giving effect to </w:t>
      </w:r>
      <w:r>
        <w:rPr>
          <w:rFonts w:ascii="Times New Roman" w:cs="Times New Roman" w:eastAsia="Times New Roman" w:hAnsi="Times New Roman"/>
          <w:sz w:val="20"/>
          <w:szCs w:val="20"/>
          <w:u w:val="single" w:color="auto"/>
          <w:color w:val="auto"/>
        </w:rPr>
        <w:t>Section 2.17(1)(d)</w:t>
      </w:r>
      <w:r>
        <w:rPr>
          <w:rFonts w:ascii="Times New Roman" w:cs="Times New Roman" w:eastAsia="Times New Roman" w:hAnsi="Times New Roman"/>
          <w:sz w:val="20"/>
          <w:szCs w:val="20"/>
          <w:color w:val="auto"/>
        </w:rPr>
        <w:t>)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Applicable Percentage of the outstanding Swing Line Loans.</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or 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1880"/>
        <w:spacing w:after="0" w:line="241" w:lineRule="auto"/>
        <w:tabs>
          <w:tab w:leader="none" w:pos="226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but in any event not less than weekly while any Swing Line Loans are outstanding, may request, by written notice to the Borrower, the Administrative Agent and the Revolving Lenders, on behalf of the Borrower (which hereby irrevocably authorizes the Swing Line Lender to so request on its behalf), that each Revolving Lender make a Base Rate Loan in an amount equal to such Lender’s Applicable Percentage of the amount of Swing Line Loans of the Borrower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not in excess of the unutilized portion of the aggregate Revolving Commitments and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the Borrower with a copy of the applicable Committed Loan Notice promptly after delivering such notice to the Administrative Agent. Each Revolving Lender shall make an amount equal to its Applicable Percentage of the amount specified in such Committed Loan Notice available to the Administrative Agent in Same Day Funds for the account of the Swing Line Lender at the Administrative Agent’s Office not later than 1:00 p.m., New York time, on the date specified in such Committed Loan Notice, whereupon, subject to </w:t>
      </w:r>
      <w:r>
        <w:rPr>
          <w:rFonts w:ascii="Times New Roman" w:cs="Times New Roman" w:eastAsia="Times New Roman" w:hAnsi="Times New Roman"/>
          <w:sz w:val="20"/>
          <w:szCs w:val="20"/>
          <w:u w:val="single" w:color="auto"/>
          <w:color w:val="auto"/>
        </w:rPr>
        <w:t>Section 2.04(3)(b)</w:t>
      </w:r>
      <w:r>
        <w:rPr>
          <w:rFonts w:ascii="Times New Roman" w:cs="Times New Roman" w:eastAsia="Times New Roman" w:hAnsi="Times New Roman"/>
          <w:sz w:val="20"/>
          <w:szCs w:val="20"/>
          <w:color w:val="auto"/>
        </w:rPr>
        <w:t>, each Revolving Lender that so makes funds available shall be deemed to have made a Revolving Loan that is a Base Rate Loan to the Borrower in such amount. The Administrative Agent shall remit the funds so received to the Swing Line Lender.</w:t>
      </w:r>
    </w:p>
    <w:p>
      <w:pPr>
        <w:spacing w:after="0" w:line="195" w:lineRule="exact"/>
        <w:rPr>
          <w:rFonts w:ascii="Times New Roman" w:cs="Times New Roman" w:eastAsia="Times New Roman" w:hAnsi="Times New Roman"/>
          <w:sz w:val="20"/>
          <w:szCs w:val="20"/>
          <w:color w:val="auto"/>
        </w:rPr>
      </w:pPr>
    </w:p>
    <w:p>
      <w:pPr>
        <w:ind w:right="80" w:firstLine="1880"/>
        <w:spacing w:after="0" w:line="254" w:lineRule="auto"/>
        <w:tabs>
          <w:tab w:leader="none" w:pos="2268"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Revolving Borrowing in accordance with </w:t>
      </w:r>
      <w:r>
        <w:rPr>
          <w:rFonts w:ascii="Times New Roman" w:cs="Times New Roman" w:eastAsia="Times New Roman" w:hAnsi="Times New Roman"/>
          <w:sz w:val="20"/>
          <w:szCs w:val="20"/>
          <w:u w:val="single" w:color="auto"/>
          <w:color w:val="auto"/>
        </w:rPr>
        <w:t>Section 2.04(3)(a)</w:t>
      </w:r>
      <w:r>
        <w:rPr>
          <w:rFonts w:ascii="Times New Roman" w:cs="Times New Roman" w:eastAsia="Times New Roman" w:hAnsi="Times New Roman"/>
          <w:sz w:val="20"/>
          <w:szCs w:val="20"/>
          <w:color w:val="auto"/>
        </w:rPr>
        <w:t xml:space="preserve"> (including as a result of a proceeding under any Debtor Relief Law), the request for Base Rate Loans submitted by the relevant Swing Line Lender as set forth</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6" w:name="page227"/>
    <w:bookmarkEnd w:id="226"/>
    <w:p>
      <w:pPr>
        <w:ind w:right="420"/>
        <w:spacing w:after="0" w:line="254" w:lineRule="auto"/>
        <w:rPr>
          <w:sz w:val="20"/>
          <w:szCs w:val="20"/>
          <w:color w:val="auto"/>
        </w:rPr>
      </w:pPr>
      <w:r>
        <w:rPr>
          <w:rFonts w:ascii="Times New Roman" w:cs="Times New Roman" w:eastAsia="Times New Roman" w:hAnsi="Times New Roman"/>
          <w:sz w:val="20"/>
          <w:szCs w:val="20"/>
          <w:color w:val="auto"/>
        </w:rPr>
        <w:t xml:space="preserve">herein shall be deemed to be a request by such Swing Line Lender that each of the Revolving Lenders fund its risk participation in the relevant Swing Line Loan and each Revolving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2.04(3)(a)</w:t>
      </w:r>
      <w:r>
        <w:rPr>
          <w:rFonts w:ascii="Times New Roman" w:cs="Times New Roman" w:eastAsia="Times New Roman" w:hAnsi="Times New Roman"/>
          <w:sz w:val="20"/>
          <w:szCs w:val="20"/>
          <w:color w:val="auto"/>
        </w:rPr>
        <w:t xml:space="preserve"> shall be deemed payment in respect of such participation.</w:t>
      </w:r>
    </w:p>
    <w:p>
      <w:pPr>
        <w:spacing w:after="0" w:line="174" w:lineRule="exact"/>
        <w:rPr>
          <w:sz w:val="20"/>
          <w:szCs w:val="20"/>
          <w:color w:val="auto"/>
        </w:rPr>
      </w:pPr>
    </w:p>
    <w:p>
      <w:pPr>
        <w:ind w:firstLine="1880"/>
        <w:spacing w:after="0" w:line="258" w:lineRule="auto"/>
        <w:tabs>
          <w:tab w:leader="none" w:pos="2268"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Revolving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9"/>
          <w:szCs w:val="19"/>
          <w:u w:val="single" w:color="auto"/>
          <w:color w:val="auto"/>
        </w:rPr>
        <w:t>Section 2.04(3)</w:t>
      </w:r>
      <w:r>
        <w:rPr>
          <w:rFonts w:ascii="Times New Roman" w:cs="Times New Roman" w:eastAsia="Times New Roman" w:hAnsi="Times New Roman"/>
          <w:sz w:val="19"/>
          <w:szCs w:val="19"/>
          <w:color w:val="auto"/>
        </w:rPr>
        <w:t xml:space="preserve"> by the time specified in </w:t>
      </w:r>
      <w:r>
        <w:rPr>
          <w:rFonts w:ascii="Times New Roman" w:cs="Times New Roman" w:eastAsia="Times New Roman" w:hAnsi="Times New Roman"/>
          <w:sz w:val="19"/>
          <w:szCs w:val="19"/>
          <w:u w:val="single" w:color="auto"/>
          <w:color w:val="auto"/>
        </w:rPr>
        <w:t>Section 2.04(3)(a)</w:t>
      </w:r>
      <w:r>
        <w:rPr>
          <w:rFonts w:ascii="Times New Roman" w:cs="Times New Roman" w:eastAsia="Times New Roman" w:hAnsi="Times New Roman"/>
          <w:sz w:val="19"/>
          <w:szCs w:val="19"/>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Overnight Rate from time to time in effect. If such Revolving Lender pays such amount,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shall be conclusive absent manifest error.</w:t>
      </w:r>
    </w:p>
    <w:p>
      <w:pPr>
        <w:spacing w:after="0" w:line="173" w:lineRule="exact"/>
        <w:rPr>
          <w:rFonts w:ascii="Times New Roman" w:cs="Times New Roman" w:eastAsia="Times New Roman" w:hAnsi="Times New Roman"/>
          <w:sz w:val="19"/>
          <w:szCs w:val="19"/>
          <w:color w:val="auto"/>
        </w:rPr>
      </w:pPr>
    </w:p>
    <w:p>
      <w:pPr>
        <w:ind w:firstLine="1880"/>
        <w:spacing w:after="0" w:line="243" w:lineRule="auto"/>
        <w:tabs>
          <w:tab w:leader="none" w:pos="2268"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Revolving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2.04(3)</w:t>
      </w:r>
      <w:r>
        <w:rPr>
          <w:rFonts w:ascii="Times New Roman" w:cs="Times New Roman" w:eastAsia="Times New Roman" w:hAnsi="Times New Roman"/>
          <w:sz w:val="20"/>
          <w:szCs w:val="20"/>
          <w:color w:val="auto"/>
        </w:rPr>
        <w:t xml:space="preserve"> shall be absolute and unconditional and shall not be affected by any circumstance, including (i) any setoff, counterclaim, recoupment, defense or other right which such Lender may have against the Swing Line Lender, the Borrower or any other Person for any reason whatsoever, (ii) the occurrence or continuance of a Default, or (iii) 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Revolving Lender’s obligation to make Revolving Loans pursuant to this </w:t>
      </w:r>
      <w:r>
        <w:rPr>
          <w:rFonts w:ascii="Times New Roman" w:cs="Times New Roman" w:eastAsia="Times New Roman" w:hAnsi="Times New Roman"/>
          <w:sz w:val="20"/>
          <w:szCs w:val="20"/>
          <w:u w:val="single" w:color="auto"/>
          <w:color w:val="auto"/>
        </w:rPr>
        <w:t>Section 2.04(3)</w:t>
      </w:r>
      <w:r>
        <w:rPr>
          <w:rFonts w:ascii="Times New Roman" w:cs="Times New Roman" w:eastAsia="Times New Roman" w:hAnsi="Times New Roman"/>
          <w:sz w:val="20"/>
          <w:szCs w:val="20"/>
          <w:color w:val="auto"/>
        </w:rPr>
        <w:t xml:space="preserve"> (but not to purchase and fund risk participations in Swing Line Loans)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No such funding of risk participations shall relieve or otherwise impair the obligation of the Borrower to repay the applicable Swing Line Loans, together with interest as provided herein.</w:t>
      </w:r>
    </w:p>
    <w:p>
      <w:pPr>
        <w:spacing w:after="0" w:line="189" w:lineRule="exact"/>
        <w:rPr>
          <w:rFonts w:ascii="Times New Roman" w:cs="Times New Roman" w:eastAsia="Times New Roman" w:hAnsi="Times New Roman"/>
          <w:sz w:val="20"/>
          <w:szCs w:val="20"/>
          <w:color w:val="auto"/>
        </w:rPr>
      </w:pPr>
    </w:p>
    <w:p>
      <w:pPr>
        <w:ind w:right="160" w:firstLine="1880"/>
        <w:spacing w:after="0" w:line="249" w:lineRule="auto"/>
        <w:tabs>
          <w:tab w:leader="none" w:pos="2268"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Reports</w:t>
      </w:r>
      <w:r>
        <w:rPr>
          <w:rFonts w:ascii="Times New Roman" w:cs="Times New Roman" w:eastAsia="Times New Roman" w:hAnsi="Times New Roman"/>
          <w:sz w:val="20"/>
          <w:szCs w:val="20"/>
          <w:color w:val="auto"/>
        </w:rPr>
        <w:t xml:space="preserve">. For so long as there is any Swing Line Lender other than the Administrative Agent, such Swing Line Lender shall deliver to the Administrative Agent on the last Business Day of each calendar month, and on each date that the funding or repayment of a Swing Line Loan by such Swing Line Lender occurs with respect to any such Swing Line Loan, a report in the form of </w:t>
      </w:r>
      <w:r>
        <w:rPr>
          <w:rFonts w:ascii="Times New Roman" w:cs="Times New Roman" w:eastAsia="Times New Roman" w:hAnsi="Times New Roman"/>
          <w:sz w:val="20"/>
          <w:szCs w:val="20"/>
          <w:u w:val="single" w:color="auto"/>
          <w:color w:val="auto"/>
        </w:rPr>
        <w:t>Exhibit R-2</w:t>
      </w:r>
      <w:r>
        <w:rPr>
          <w:rFonts w:ascii="Times New Roman" w:cs="Times New Roman" w:eastAsia="Times New Roman" w:hAnsi="Times New Roman"/>
          <w:sz w:val="20"/>
          <w:szCs w:val="20"/>
          <w:color w:val="auto"/>
        </w:rPr>
        <w:t>, appropriately completed with the information for every Swing Line Loan made by such Swing Line Lender.</w:t>
      </w:r>
    </w:p>
    <w:p>
      <w:pPr>
        <w:spacing w:after="0" w:line="179" w:lineRule="exact"/>
        <w:rPr>
          <w:rFonts w:ascii="Times New Roman" w:cs="Times New Roman" w:eastAsia="Times New Roman" w:hAnsi="Times New Roman"/>
          <w:sz w:val="20"/>
          <w:szCs w:val="20"/>
          <w:color w:val="auto"/>
        </w:rPr>
      </w:pPr>
    </w:p>
    <w:p>
      <w:pPr>
        <w:ind w:right="80" w:firstLine="1880"/>
        <w:spacing w:after="0" w:line="254" w:lineRule="auto"/>
        <w:tabs>
          <w:tab w:leader="none" w:pos="2268"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there shall exist a Defaulting Lender, immediately upon the request of the relevant Swing Line Lender, the Borrower will prepay Swing Line Loans in amount equal to the relevant Swing Line Lender’s Fronting Exposure (after giving effect to </w:t>
      </w:r>
      <w:r>
        <w:rPr>
          <w:rFonts w:ascii="Times New Roman" w:cs="Times New Roman" w:eastAsia="Times New Roman" w:hAnsi="Times New Roman"/>
          <w:sz w:val="20"/>
          <w:szCs w:val="20"/>
          <w:u w:val="single" w:color="auto"/>
          <w:color w:val="auto"/>
        </w:rPr>
        <w:t>Section 2.17(1)(d)</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right="120" w:firstLine="1880"/>
        <w:spacing w:after="0" w:line="249" w:lineRule="auto"/>
        <w:tabs>
          <w:tab w:leader="none" w:pos="2268"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Lender has purchased and funded a risk participation in a Swing Line Loan, if the relevant Swing Line Lender receives any payment on account of such Swing Line Loan, such Swing Line Lender will distribute to such Lender its Applicable Percentage of such payment (appropriately adjusted, in the case of interest payments, to reflect the period of time during which such Lender’s risk participation was funded) in the same funds as those received by such Swing Line Lender.</w:t>
      </w:r>
    </w:p>
    <w:p>
      <w:pPr>
        <w:spacing w:after="0" w:line="179" w:lineRule="exact"/>
        <w:rPr>
          <w:rFonts w:ascii="Times New Roman" w:cs="Times New Roman" w:eastAsia="Times New Roman" w:hAnsi="Times New Roman"/>
          <w:sz w:val="20"/>
          <w:szCs w:val="20"/>
          <w:color w:val="auto"/>
        </w:rPr>
      </w:pPr>
    </w:p>
    <w:p>
      <w:pPr>
        <w:jc w:val="both"/>
        <w:ind w:firstLine="1880"/>
        <w:spacing w:after="0" w:line="254" w:lineRule="auto"/>
        <w:tabs>
          <w:tab w:leader="none" w:pos="2268"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relevant Swing Line Lender in respect of principal or interest on any Swing Line Loan is required to be returned by such Swing Line Lender under any of the circumstances described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(including pursuant to any settlement entered into by</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27" w:name="page228"/>
    <w:bookmarkEnd w:id="227"/>
    <w:p>
      <w:pPr>
        <w:ind w:right="180"/>
        <w:spacing w:after="0" w:line="246" w:lineRule="auto"/>
        <w:rPr>
          <w:sz w:val="20"/>
          <w:szCs w:val="20"/>
          <w:color w:val="auto"/>
        </w:rPr>
      </w:pPr>
      <w:r>
        <w:rPr>
          <w:rFonts w:ascii="Times New Roman" w:cs="Times New Roman" w:eastAsia="Times New Roman" w:hAnsi="Times New Roman"/>
          <w:sz w:val="20"/>
          <w:szCs w:val="20"/>
          <w:color w:val="auto"/>
        </w:rPr>
        <w:t xml:space="preserve">the Swing Line Lender in its discretion), each Revolving Lender shall pay to such Swing Line Lender its Applicable Percentage thereof on demand of the Administrative Agent, plus interest thereon from the date of such demand to the date such amount is returned, at a rate per annum equal to the Overnight Rate. The Administrative Agent will make such demand upon the request of a Swing Line Lender. The obligations of the Revolving Lenders under this </w:t>
      </w:r>
      <w:r>
        <w:rPr>
          <w:rFonts w:ascii="Times New Roman" w:cs="Times New Roman" w:eastAsia="Times New Roman" w:hAnsi="Times New Roman"/>
          <w:sz w:val="20"/>
          <w:szCs w:val="20"/>
          <w:u w:val="single" w:color="auto"/>
          <w:color w:val="auto"/>
        </w:rPr>
        <w:t>clause (4)(b)</w:t>
      </w:r>
      <w:r>
        <w:rPr>
          <w:rFonts w:ascii="Times New Roman" w:cs="Times New Roman" w:eastAsia="Times New Roman" w:hAnsi="Times New Roman"/>
          <w:sz w:val="20"/>
          <w:szCs w:val="20"/>
          <w:color w:val="auto"/>
        </w:rPr>
        <w:t xml:space="preserve"> shall survive the payment in full of the Obligations and the termination of this Agreement.</w:t>
      </w:r>
    </w:p>
    <w:p>
      <w:pPr>
        <w:spacing w:after="0" w:line="185" w:lineRule="exact"/>
        <w:rPr>
          <w:sz w:val="20"/>
          <w:szCs w:val="20"/>
          <w:color w:val="auto"/>
        </w:rPr>
      </w:pPr>
    </w:p>
    <w:p>
      <w:pPr>
        <w:ind w:right="140" w:firstLine="1505"/>
        <w:spacing w:after="0" w:line="264" w:lineRule="auto"/>
        <w:tabs>
          <w:tab w:leader="none" w:pos="1893"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for Account of Swing Line Lender</w:t>
      </w:r>
      <w:r>
        <w:rPr>
          <w:rFonts w:ascii="Times New Roman" w:cs="Times New Roman" w:eastAsia="Times New Roman" w:hAnsi="Times New Roman"/>
          <w:sz w:val="19"/>
          <w:szCs w:val="19"/>
          <w:color w:val="auto"/>
        </w:rPr>
        <w:t xml:space="preserve">. The Swing Line Lender shall be responsible for invoicing the Borrower for interest on the Swing Line Loans. Until each Revolving Lender funds its Base Rate Loan or risk participation pursuant to this </w:t>
      </w:r>
      <w:r>
        <w:rPr>
          <w:rFonts w:ascii="Times New Roman" w:cs="Times New Roman" w:eastAsia="Times New Roman" w:hAnsi="Times New Roman"/>
          <w:sz w:val="19"/>
          <w:szCs w:val="19"/>
          <w:u w:val="single" w:color="auto"/>
          <w:color w:val="auto"/>
        </w:rPr>
        <w:t>Section</w:t>
      </w:r>
    </w:p>
    <w:p>
      <w:pPr>
        <w:ind w:right="30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to refinance such Lender’s Applicable Percentage of any Swing Line Loan, interest in respect of such Applicable Percentage shall be solely for the account of the Swing Line Lender.</w:t>
      </w:r>
    </w:p>
    <w:p>
      <w:pPr>
        <w:spacing w:after="0" w:line="181" w:lineRule="exact"/>
        <w:rPr>
          <w:rFonts w:ascii="Times New Roman" w:cs="Times New Roman" w:eastAsia="Times New Roman" w:hAnsi="Times New Roman"/>
          <w:sz w:val="19"/>
          <w:szCs w:val="19"/>
          <w:color w:val="auto"/>
        </w:rPr>
      </w:pPr>
    </w:p>
    <w:p>
      <w:pPr>
        <w:ind w:right="120" w:firstLine="1505"/>
        <w:spacing w:after="0" w:line="254" w:lineRule="auto"/>
        <w:tabs>
          <w:tab w:leader="none" w:pos="1893"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xml:space="preserve">. The Borrower shall make all payments of principal and interest in respect of the Swing Line Loans directly to the Swing Line Lender with notice to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notice shall be required in the event that the Swing Line Lender is also the Administrative Agent.</w:t>
      </w:r>
    </w:p>
    <w:p>
      <w:pPr>
        <w:spacing w:after="0" w:line="174" w:lineRule="exact"/>
        <w:rPr>
          <w:rFonts w:ascii="Times New Roman" w:cs="Times New Roman" w:eastAsia="Times New Roman" w:hAnsi="Times New Roman"/>
          <w:sz w:val="20"/>
          <w:szCs w:val="20"/>
          <w:color w:val="auto"/>
        </w:rPr>
      </w:pPr>
    </w:p>
    <w:p>
      <w:pPr>
        <w:ind w:firstLine="1505"/>
        <w:spacing w:after="0" w:line="256" w:lineRule="auto"/>
        <w:tabs>
          <w:tab w:leader="none" w:pos="1893"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Provisions Related to Extended Revolving Commitments</w:t>
      </w:r>
      <w:r>
        <w:rPr>
          <w:rFonts w:ascii="Times New Roman" w:cs="Times New Roman" w:eastAsia="Times New Roman" w:hAnsi="Times New Roman"/>
          <w:sz w:val="19"/>
          <w:szCs w:val="19"/>
          <w:color w:val="auto"/>
        </w:rPr>
        <w:t>. If the Maturity Date shall have occurred in respect of any Class of Revolving Commitments (the “</w:t>
      </w:r>
      <w:r>
        <w:rPr>
          <w:rFonts w:ascii="Times New Roman" w:cs="Times New Roman" w:eastAsia="Times New Roman" w:hAnsi="Times New Roman"/>
          <w:sz w:val="19"/>
          <w:szCs w:val="19"/>
          <w:b w:val="1"/>
          <w:bCs w:val="1"/>
          <w:color w:val="auto"/>
        </w:rPr>
        <w:t>Expiring Credit Commitment</w:t>
      </w:r>
      <w:r>
        <w:rPr>
          <w:rFonts w:ascii="Times New Roman" w:cs="Times New Roman" w:eastAsia="Times New Roman" w:hAnsi="Times New Roman"/>
          <w:sz w:val="19"/>
          <w:szCs w:val="19"/>
          <w:color w:val="auto"/>
        </w:rPr>
        <w:t>”) at a time when another Class or Classes of Revolving Commitments is or are in effect with a later Maturity Date (each a “</w:t>
      </w:r>
      <w:r>
        <w:rPr>
          <w:rFonts w:ascii="Times New Roman" w:cs="Times New Roman" w:eastAsia="Times New Roman" w:hAnsi="Times New Roman"/>
          <w:sz w:val="19"/>
          <w:szCs w:val="19"/>
          <w:b w:val="1"/>
          <w:bCs w:val="1"/>
          <w:color w:val="auto"/>
        </w:rPr>
        <w:t>Non-Expiring Credit Commitment</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color w:val="auto"/>
        </w:rPr>
        <w:t>Non-Expiring Credit Commitments</w:t>
      </w:r>
      <w:r>
        <w:rPr>
          <w:rFonts w:ascii="Times New Roman" w:cs="Times New Roman" w:eastAsia="Times New Roman" w:hAnsi="Times New Roman"/>
          <w:sz w:val="19"/>
          <w:szCs w:val="19"/>
          <w:color w:val="auto"/>
        </w:rPr>
        <w:t>”), then with respect to each outstanding Swing Line Loan, if consented to by the applicable Swing Line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Lender and the applicable Revolving Lenders holding such Non-Expiring Credit Commitments, on the earliest occurring Maturity Date such Swing Line Loan shall be deemed reallocated to the Class or Classes of the Non-Expiring Credit Commitments on a pro rata basis;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to the extent that the amount of such reallocation would cause the aggregate credit exposure to exceed the aggregate amount of such Non-Expiring Credit Commitments, immediately prior to such reallocation (after giving effect to any repayments of Revolving Loans and any reallocation of Letter of Credit participations as contemplated in </w:t>
      </w:r>
      <w:r>
        <w:rPr>
          <w:rFonts w:ascii="Times New Roman" w:cs="Times New Roman" w:eastAsia="Times New Roman" w:hAnsi="Times New Roman"/>
          <w:sz w:val="19"/>
          <w:szCs w:val="19"/>
          <w:u w:val="single" w:color="auto"/>
          <w:color w:val="auto"/>
        </w:rPr>
        <w:t>Section 2.03(12)</w:t>
      </w:r>
      <w:r>
        <w:rPr>
          <w:rFonts w:ascii="Times New Roman" w:cs="Times New Roman" w:eastAsia="Times New Roman" w:hAnsi="Times New Roman"/>
          <w:sz w:val="19"/>
          <w:szCs w:val="19"/>
          <w:color w:val="auto"/>
        </w:rPr>
        <w:t>) the amount of Swing Line Loans to be reallocated equal to such excess shall be repaid and (b) notwithstanding the foregoing, if a Default has occurred and is continuing, the Borrower shall still be obligated to pay Swing Line Loans allocated to the Revolving Lenders holding the Expiring Credit Commitments at the Maturity Date of the Expiring Credit Commitment or if the Loans have been accelerated prior to the Maturity Date of the Expiring Credit Commitment.</w:t>
      </w:r>
    </w:p>
    <w:p>
      <w:pPr>
        <w:spacing w:after="0" w:line="173" w:lineRule="exact"/>
        <w:rPr>
          <w:rFonts w:ascii="Times New Roman" w:cs="Times New Roman" w:eastAsia="Times New Roman" w:hAnsi="Times New Roman"/>
          <w:sz w:val="19"/>
          <w:szCs w:val="19"/>
          <w:color w:val="auto"/>
        </w:rPr>
      </w:pPr>
    </w:p>
    <w:p>
      <w:pPr>
        <w:ind w:right="260" w:firstLine="1505"/>
        <w:spacing w:after="0" w:line="249" w:lineRule="auto"/>
        <w:tabs>
          <w:tab w:leader="none" w:pos="1893"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 of a Swing Line Lender</w:t>
      </w:r>
      <w:r>
        <w:rPr>
          <w:rFonts w:ascii="Times New Roman" w:cs="Times New Roman" w:eastAsia="Times New Roman" w:hAnsi="Times New Roman"/>
          <w:sz w:val="20"/>
          <w:szCs w:val="20"/>
          <w:color w:val="auto"/>
        </w:rPr>
        <w:t>. A Revolving Lender reasonably acceptable to the Borrower and the Administrative Agent may become an additional Swing Line Lender hereunder pursuant to a written agreement among the Borrower, the Administrative Agent and such Revolving Lender (which agreement shall include the Swing Line Sublimit for such additional Swing Line Lender). The Administrative Agent shall notify the Revolving Lenders of any such additional Swing Line Lender.</w:t>
      </w:r>
    </w:p>
    <w:p>
      <w:pPr>
        <w:spacing w:after="0" w:line="18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9"/>
          <w:szCs w:val="19"/>
          <w:color w:val="auto"/>
        </w:rPr>
        <w:t>Prepayments.</w:t>
      </w:r>
    </w:p>
    <w:p>
      <w:pPr>
        <w:spacing w:after="0" w:line="216" w:lineRule="exact"/>
        <w:rPr>
          <w:sz w:val="20"/>
          <w:szCs w:val="20"/>
          <w:color w:val="auto"/>
        </w:rPr>
      </w:pPr>
    </w:p>
    <w:p>
      <w:pPr>
        <w:ind w:left="1900" w:hanging="395"/>
        <w:spacing w:after="0"/>
        <w:tabs>
          <w:tab w:leader="none" w:pos="19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80" w:firstLine="1880"/>
        <w:spacing w:after="0" w:line="254" w:lineRule="auto"/>
        <w:tabs>
          <w:tab w:leader="none" w:pos="2268"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written notice to the Administrative Agent by the Borrower, at any time or from time to time voluntarily prepay any Class or Classes of Term Loans and any Class or Classes of Revolving Loans in whole or in part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8" w:name="page229"/>
    <w:bookmarkEnd w:id="228"/>
    <w:p>
      <w:pPr>
        <w:ind w:right="480" w:firstLine="1505"/>
        <w:spacing w:after="0" w:line="254" w:lineRule="auto"/>
        <w:tabs>
          <w:tab w:leader="none" w:pos="189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notice must be received by the Administrative Agent not later than (I) 2:00 p.m., New York time, three (3) Business Days prior to any date of prepayment of Term Benchmark Rate Loans and (II) 2:00 p.m., New York time, on the date of prepayment of Base Rate Loans (or, in each case, such later date as may be agreed by the Administrative Agent);</w:t>
      </w:r>
    </w:p>
    <w:p>
      <w:pPr>
        <w:spacing w:after="0" w:line="174" w:lineRule="exact"/>
        <w:rPr>
          <w:rFonts w:ascii="Times New Roman" w:cs="Times New Roman" w:eastAsia="Times New Roman" w:hAnsi="Times New Roman"/>
          <w:sz w:val="20"/>
          <w:szCs w:val="20"/>
          <w:color w:val="auto"/>
        </w:rPr>
      </w:pPr>
    </w:p>
    <w:p>
      <w:pPr>
        <w:ind w:right="200" w:firstLine="1505"/>
        <w:spacing w:after="0" w:line="269" w:lineRule="auto"/>
        <w:tabs>
          <w:tab w:leader="none" w:pos="194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prepayment of Term Benchmark Rate Loans shall be in a principal amount of $250,000 or a whole multiple of $100,000 in excess thereof or, if less, the entire principal amount thereof then outstanding; and</w:t>
      </w:r>
    </w:p>
    <w:p>
      <w:pPr>
        <w:spacing w:after="0" w:line="159" w:lineRule="exact"/>
        <w:rPr>
          <w:rFonts w:ascii="Times New Roman" w:cs="Times New Roman" w:eastAsia="Times New Roman" w:hAnsi="Times New Roman"/>
          <w:sz w:val="20"/>
          <w:szCs w:val="20"/>
          <w:color w:val="auto"/>
        </w:rPr>
      </w:pPr>
    </w:p>
    <w:p>
      <w:pPr>
        <w:ind w:right="260" w:firstLine="1505"/>
        <w:spacing w:after="0" w:line="269" w:lineRule="auto"/>
        <w:tabs>
          <w:tab w:leader="none" w:pos="189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prepayment of Base Rate Loans shall be in a principal amount of $250,000 or a whole multiple of $100,000 in excess thereof or, if less, the entire principal amount thereof then outstanding.</w:t>
      </w:r>
    </w:p>
    <w:p>
      <w:pPr>
        <w:spacing w:after="0" w:line="159" w:lineRule="exact"/>
        <w:rPr>
          <w:sz w:val="20"/>
          <w:szCs w:val="20"/>
          <w:color w:val="auto"/>
        </w:rPr>
      </w:pPr>
    </w:p>
    <w:p>
      <w:pPr>
        <w:ind w:right="14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Each such notice shall specify the date and amount of such prepayment and the Class(es) and Type(s) of Loans to be prepaid. The Administrative Agent will promptly notify each Appropriate Lender of its receipt of each such notice, and of the amount of such Lender’s Pro Rata Share of such prepayment. If such notice is given by the Borrower, the Borrower shall make such prepayment and the payment amount specified in such notice shall be due and payable on the date specified therein. Any prepayment of a Term Benchmark Rate Loan shall be accompanied by all accrued interest thereon,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In the case of each prepayment of the Loans pursuant to this </w:t>
      </w:r>
      <w:r>
        <w:rPr>
          <w:rFonts w:ascii="Times New Roman" w:cs="Times New Roman" w:eastAsia="Times New Roman" w:hAnsi="Times New Roman"/>
          <w:sz w:val="20"/>
          <w:szCs w:val="20"/>
          <w:u w:val="single" w:color="auto"/>
          <w:color w:val="auto"/>
        </w:rPr>
        <w:t>Section 2.05(1)</w:t>
      </w:r>
      <w:r>
        <w:rPr>
          <w:rFonts w:ascii="Times New Roman" w:cs="Times New Roman" w:eastAsia="Times New Roman" w:hAnsi="Times New Roman"/>
          <w:sz w:val="20"/>
          <w:szCs w:val="20"/>
          <w:color w:val="auto"/>
        </w:rPr>
        <w:t>, the Borrower may in its sole discretion select the Borrowing or Borrowings (and the order of maturity of principal payments) to be repaid, and such payment shall be paid to the Appropriate Lenders in accordance with their respective Pro Rata Shares.</w:t>
      </w:r>
    </w:p>
    <w:p>
      <w:pPr>
        <w:spacing w:after="0" w:line="189" w:lineRule="exact"/>
        <w:rPr>
          <w:sz w:val="20"/>
          <w:szCs w:val="20"/>
          <w:color w:val="auto"/>
        </w:rPr>
      </w:pPr>
    </w:p>
    <w:p>
      <w:pPr>
        <w:ind w:right="40" w:firstLine="1880"/>
        <w:spacing w:after="0" w:line="243" w:lineRule="auto"/>
        <w:tabs>
          <w:tab w:leader="none" w:pos="226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such notice must be received by the Swing Line Lender (with a copy to the Administrative Agent) not later than 12:00 p.m., New York time, on the date of the prepayment (or such later time as may be agreed by the Swing Line Lender and the Administrative Agent), and (2) any such prepayment shall be in a minimum principal amount of $100,000 or a whole multiple amount of $10,000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89" w:lineRule="exact"/>
        <w:rPr>
          <w:rFonts w:ascii="Times New Roman" w:cs="Times New Roman" w:eastAsia="Times New Roman" w:hAnsi="Times New Roman"/>
          <w:sz w:val="20"/>
          <w:szCs w:val="20"/>
          <w:color w:val="auto"/>
        </w:rPr>
      </w:pPr>
    </w:p>
    <w:p>
      <w:pPr>
        <w:ind w:right="180" w:firstLine="1880"/>
        <w:spacing w:after="0" w:line="245" w:lineRule="auto"/>
        <w:tabs>
          <w:tab w:leader="none" w:pos="226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the Borrower may rescind (or delay the date of prepayment identified in) any notice of prepayment under </w:t>
      </w:r>
      <w:r>
        <w:rPr>
          <w:rFonts w:ascii="Times New Roman" w:cs="Times New Roman" w:eastAsia="Times New Roman" w:hAnsi="Times New Roman"/>
          <w:sz w:val="20"/>
          <w:szCs w:val="20"/>
          <w:u w:val="single" w:color="auto"/>
          <w:color w:val="auto"/>
        </w:rPr>
        <w:t>Section 2.05(1)(a)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2.05(1)(b)</w:t>
      </w:r>
      <w:r>
        <w:rPr>
          <w:rFonts w:ascii="Times New Roman" w:cs="Times New Roman" w:eastAsia="Times New Roman" w:hAnsi="Times New Roman"/>
          <w:sz w:val="20"/>
          <w:szCs w:val="20"/>
          <w:color w:val="auto"/>
        </w:rPr>
        <w:t xml:space="preserve"> by written notice to the Administrative Agent (with a copy to the Swing Line Lender in the case of a prepayment of Swing Line Loans) not later than 12:00 p.m., New York time, on such prepayment date if such prepayment would have resulted from a refinancing of all or a portion of the applicable Facility or other transaction or conditional event, which refinancing or other transaction or conditional event shall not be consummated or shall otherwise be delayed.</w:t>
      </w:r>
    </w:p>
    <w:p>
      <w:pPr>
        <w:spacing w:after="0" w:line="184" w:lineRule="exact"/>
        <w:rPr>
          <w:rFonts w:ascii="Times New Roman" w:cs="Times New Roman" w:eastAsia="Times New Roman" w:hAnsi="Times New Roman"/>
          <w:sz w:val="20"/>
          <w:szCs w:val="20"/>
          <w:color w:val="auto"/>
        </w:rPr>
      </w:pPr>
    </w:p>
    <w:p>
      <w:pPr>
        <w:ind w:firstLine="1880"/>
        <w:spacing w:after="0" w:line="260" w:lineRule="auto"/>
        <w:tabs>
          <w:tab w:leader="none" w:pos="2268"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Voluntary prepayments of any Class of Term Loans permitted hereunder shall be applied to the remaining scheduled installments of principal thereof in a manner determined at the discretion of the Borrower and specified in the notice of prepayment (and absent such direction, in direct order of maturity). Each prepayment in respect of any Term Loans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w:t>
      </w:r>
      <w:r>
        <w:rPr>
          <w:rFonts w:ascii="Times New Roman" w:cs="Times New Roman" w:eastAsia="Times New Roman" w:hAnsi="Times New Roman"/>
          <w:sz w:val="19"/>
          <w:szCs w:val="19"/>
          <w:color w:val="auto"/>
        </w:rPr>
        <w:t xml:space="preserve"> may be applied to any Class of Term Loans as directed by the Borrower. For the avoidance of doubt, the Borrower may (i) prepay Term Loans of an Existing Term Loan Class pursuant to this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without any requirement to prepay Extended Term Loans that were converted or exchanged from such Existing Term Loan Class and (ii) prepay Extended Term Loans pursuant to this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without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-3081020</wp:posOffset>
            </wp:positionV>
            <wp:extent cx="2514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1">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-1778000</wp:posOffset>
            </wp:positionV>
            <wp:extent cx="2514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2">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-766445</wp:posOffset>
            </wp:positionV>
            <wp:extent cx="2514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9" w:name="page230"/>
    <w:bookmarkEnd w:id="229"/>
    <w:p>
      <w:pPr>
        <w:ind w:right="20"/>
        <w:spacing w:after="0" w:line="249" w:lineRule="auto"/>
        <w:rPr>
          <w:sz w:val="20"/>
          <w:szCs w:val="20"/>
          <w:color w:val="auto"/>
        </w:rPr>
      </w:pPr>
      <w:r>
        <w:rPr>
          <w:rFonts w:ascii="Times New Roman" w:cs="Times New Roman" w:eastAsia="Times New Roman" w:hAnsi="Times New Roman"/>
          <w:sz w:val="20"/>
          <w:szCs w:val="20"/>
          <w:color w:val="auto"/>
        </w:rPr>
        <w:t>requirement to prepay Term Loans of an Existing Term Loan Class that were converted or exchanged for such Extended Term Loans. In the event that the Borrower does not specify the order in which to apply prepayments to reduce scheduled installments of principal or as between Classes of Term Loans, the Borrower shall be deemed to have elected that such proceeds be applied to reduce the scheduled installments of principal in direct order of maturity on a pro rata basis among Term Loan Classes.</w:t>
      </w:r>
    </w:p>
    <w:p>
      <w:pPr>
        <w:spacing w:after="0" w:line="180" w:lineRule="exact"/>
        <w:rPr>
          <w:sz w:val="20"/>
          <w:szCs w:val="20"/>
          <w:color w:val="auto"/>
        </w:rPr>
      </w:pPr>
    </w:p>
    <w:p>
      <w:pPr>
        <w:ind w:right="20" w:firstLine="1880"/>
        <w:spacing w:after="0" w:line="258" w:lineRule="auto"/>
        <w:tabs>
          <w:tab w:leader="none" w:pos="2268" w:val="left"/>
        </w:tabs>
        <w:numPr>
          <w:ilvl w:val="2"/>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in any Loan Document to the contrary, so long as (i) no Event of Default has occurred and is continuing and (ii) no proceeds of Revolving Loans are used for this purpose, any Borrower Party may (I) purchase outstanding Term Loans on a non-pro rata basis through open market purchases or (II) prepay the outstanding Term Loans (which Term Loans shall, for the avoidance of doubt, be automatically and permanently canceled immediately upon such purchase or prepayment), which in the case of </w:t>
      </w:r>
      <w:r>
        <w:rPr>
          <w:rFonts w:ascii="Times New Roman" w:cs="Times New Roman" w:eastAsia="Times New Roman" w:hAnsi="Times New Roman"/>
          <w:sz w:val="19"/>
          <w:szCs w:val="19"/>
          <w:u w:val="single" w:color="auto"/>
          <w:color w:val="auto"/>
        </w:rPr>
        <w:t>clause</w:t>
      </w:r>
    </w:p>
    <w:p>
      <w:pPr>
        <w:ind w:left="320" w:hanging="312"/>
        <w:spacing w:after="0"/>
        <w:tabs>
          <w:tab w:leader="none" w:pos="320" w:val="left"/>
        </w:tabs>
        <w:numPr>
          <w:ilvl w:val="0"/>
          <w:numId w:val="21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only shall be prepaid without premium or penalty (other than as set forth in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on the following basis:</w:t>
      </w:r>
    </w:p>
    <w:p>
      <w:pPr>
        <w:spacing w:after="0" w:line="193" w:lineRule="exact"/>
        <w:rPr>
          <w:rFonts w:ascii="Times New Roman" w:cs="Times New Roman" w:eastAsia="Times New Roman" w:hAnsi="Times New Roman"/>
          <w:sz w:val="20"/>
          <w:szCs w:val="20"/>
          <w:u w:val="single" w:color="auto"/>
          <w:color w:val="auto"/>
        </w:rPr>
      </w:pPr>
    </w:p>
    <w:p>
      <w:pPr>
        <w:jc w:val="both"/>
        <w:ind w:right="100" w:firstLine="1505"/>
        <w:spacing w:after="0" w:line="249" w:lineRule="auto"/>
        <w:tabs>
          <w:tab w:leader="none" w:pos="1893"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Party shall have the right to make a voluntary prepayment of Loans at a discount to par pursuant to a Borrower Offer of Specified Discount Prepayment, Borrower Solicitation of Discount Range Prepayment Offers or Borrower Solicitation of Discounted Prepayment Offers (any such prepayment, the “</w:t>
      </w:r>
      <w:r>
        <w:rPr>
          <w:rFonts w:ascii="Times New Roman" w:cs="Times New Roman" w:eastAsia="Times New Roman" w:hAnsi="Times New Roman"/>
          <w:sz w:val="20"/>
          <w:szCs w:val="20"/>
          <w:b w:val="1"/>
          <w:bCs w:val="1"/>
          <w:color w:val="auto"/>
        </w:rPr>
        <w:t>Discounted Term Loan Prepayment</w:t>
      </w:r>
      <w:r>
        <w:rPr>
          <w:rFonts w:ascii="Times New Roman" w:cs="Times New Roman" w:eastAsia="Times New Roman" w:hAnsi="Times New Roman"/>
          <w:sz w:val="20"/>
          <w:szCs w:val="20"/>
          <w:color w:val="auto"/>
        </w:rPr>
        <w:t xml:space="preserve">”), in each case made in accordance with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and without premium or penalty (other than as set forth in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firstLine="1505"/>
        <w:spacing w:after="0" w:line="241" w:lineRule="auto"/>
        <w:tabs>
          <w:tab w:leader="none" w:pos="1893"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Any Borrower Party may from time to time offer to make a Discounted Term Loan Prepayment by providing the Auction Agent with five (5) Business Days’ notice (or such shorter period as agreed by the Auction Agent) in the form of a Specified Discount Prepayment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any such offer shall be made available, at the sole discretion of the applicable Borrower Party, to (i) each Term Lender or (ii) each Term Lender with respect to any Class of Term Loans on an individual Class basis, (b) any such offer shall specify the aggregate principal amount offered to be prepaid (the “</w:t>
      </w:r>
      <w:r>
        <w:rPr>
          <w:rFonts w:ascii="Times New Roman" w:cs="Times New Roman" w:eastAsia="Times New Roman" w:hAnsi="Times New Roman"/>
          <w:sz w:val="20"/>
          <w:szCs w:val="20"/>
          <w:b w:val="1"/>
          <w:bCs w:val="1"/>
          <w:color w:val="auto"/>
        </w:rPr>
        <w:t>Specified Discount Prepayment Amount</w:t>
      </w:r>
      <w:r>
        <w:rPr>
          <w:rFonts w:ascii="Times New Roman" w:cs="Times New Roman" w:eastAsia="Times New Roman" w:hAnsi="Times New Roman"/>
          <w:sz w:val="20"/>
          <w:szCs w:val="20"/>
          <w:color w:val="auto"/>
        </w:rPr>
        <w:t>”) with respect to each applicable Class, the Class or Classes of Term Loans subject to such offer and the specific percentage discount to par (the “</w:t>
      </w:r>
      <w:r>
        <w:rPr>
          <w:rFonts w:ascii="Times New Roman" w:cs="Times New Roman" w:eastAsia="Times New Roman" w:hAnsi="Times New Roman"/>
          <w:sz w:val="20"/>
          <w:szCs w:val="20"/>
          <w:b w:val="1"/>
          <w:bCs w:val="1"/>
          <w:color w:val="auto"/>
        </w:rPr>
        <w:t>Specified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Discount</w:t>
      </w:r>
      <w:r>
        <w:rPr>
          <w:rFonts w:ascii="Times New Roman" w:cs="Times New Roman" w:eastAsia="Times New Roman" w:hAnsi="Times New Roman"/>
          <w:sz w:val="20"/>
          <w:szCs w:val="20"/>
          <w:color w:val="auto"/>
        </w:rPr>
        <w:t>”) of such Term Loans to be prepaid (it being understood that different Specified Discounts or Specified Discount Prepayment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Amounts may be offered with respect to different Classes of Term Loans and, in such event, each such offer will be treated as a separate offer pursuant to the terms of this </w:t>
      </w:r>
      <w:r>
        <w:rPr>
          <w:rFonts w:ascii="Times New Roman" w:cs="Times New Roman" w:eastAsia="Times New Roman" w:hAnsi="Times New Roman"/>
          <w:sz w:val="20"/>
          <w:szCs w:val="20"/>
          <w:u w:val="single" w:color="auto"/>
          <w:color w:val="auto"/>
        </w:rPr>
        <w:t>Section 2.05(1)(e)(B)</w:t>
      </w:r>
      <w:r>
        <w:rPr>
          <w:rFonts w:ascii="Times New Roman" w:cs="Times New Roman" w:eastAsia="Times New Roman" w:hAnsi="Times New Roman"/>
          <w:sz w:val="20"/>
          <w:szCs w:val="20"/>
          <w:color w:val="auto"/>
        </w:rPr>
        <w:t>), (c) the Specified Discount Prepayment Amount shall be in an aggregate amount not less than $1,000,000 and whole increments of $500,000 in excess thereof and (d) each such offer shall remain outstanding through the Specified Discount Prepayment Response Date. The Auction Agent will promptly provide each Appropriate Lender with a copy of such Specified Discount Prepayment Notice and a form of the Specified Discount Prepayment Response to be completed and returned by each such Term Lender to the Auction Agent (or its delegate) by no later than 5:00 p.m., New York time, on the third Business Day after the date of delivery of such notice to such Lenders (the “</w:t>
      </w:r>
      <w:r>
        <w:rPr>
          <w:rFonts w:ascii="Times New Roman" w:cs="Times New Roman" w:eastAsia="Times New Roman" w:hAnsi="Times New Roman"/>
          <w:sz w:val="20"/>
          <w:szCs w:val="20"/>
          <w:b w:val="1"/>
          <w:bCs w:val="1"/>
          <w:color w:val="auto"/>
        </w:rPr>
        <w:t>Specified Discount Prepayment Response Date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-3503930</wp:posOffset>
            </wp:positionV>
            <wp:extent cx="2514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76" w:lineRule="exact"/>
        <w:rPr>
          <w:sz w:val="20"/>
          <w:szCs w:val="20"/>
          <w:color w:val="auto"/>
        </w:rPr>
      </w:pPr>
    </w:p>
    <w:p>
      <w:pPr>
        <w:ind w:right="40" w:firstLine="1505"/>
        <w:spacing w:after="0" w:line="244" w:lineRule="auto"/>
        <w:tabs>
          <w:tab w:leader="none" w:pos="189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Term Lender receiving such offer shall notify the Auction Agent (or its delegate) by the Specified Discount Prepayment Response Date whether or not it agrees to accept a prepayment of any of its applicable then outstanding Term Loans at the Specified Discount and, if so (such accepting Lender, a “</w:t>
      </w:r>
      <w:r>
        <w:rPr>
          <w:rFonts w:ascii="Times New Roman" w:cs="Times New Roman" w:eastAsia="Times New Roman" w:hAnsi="Times New Roman"/>
          <w:sz w:val="20"/>
          <w:szCs w:val="20"/>
          <w:b w:val="1"/>
          <w:bCs w:val="1"/>
          <w:color w:val="auto"/>
        </w:rPr>
        <w:t>Discount Prepayment Accepting Lender</w:t>
      </w:r>
      <w:r>
        <w:rPr>
          <w:rFonts w:ascii="Times New Roman" w:cs="Times New Roman" w:eastAsia="Times New Roman" w:hAnsi="Times New Roman"/>
          <w:sz w:val="20"/>
          <w:szCs w:val="20"/>
          <w:color w:val="auto"/>
        </w:rPr>
        <w:t>”), the amount and the Classes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30" w:name="page231"/>
    <w:bookmarkEnd w:id="230"/>
    <w:p>
      <w:pPr>
        <w:ind w:left="-20" w:firstLine="1505"/>
        <w:spacing w:after="0" w:line="241" w:lineRule="auto"/>
        <w:tabs>
          <w:tab w:leader="none" w:pos="1873"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there is at least one Discount Prepayment Accepting Lender, the relevant Borrower Party will make a prepayment of outstanding Term Loans pursuant to this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to each Discount Prepayment Accepting Lender in accordance with the respective outstanding amount and Classes of Term Loans specified in such Lender’s Specified Discount Prepayment Response given pursuant to </w:t>
      </w:r>
      <w:r>
        <w:rPr>
          <w:rFonts w:ascii="Times New Roman" w:cs="Times New Roman" w:eastAsia="Times New Roman" w:hAnsi="Times New Roman"/>
          <w:sz w:val="20"/>
          <w:szCs w:val="20"/>
          <w:u w:val="single" w:color="auto"/>
          <w:color w:val="auto"/>
        </w:rPr>
        <w:t>subsection (2)</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aggregate principal amount of Term Loans accepted for prepayment by all Discount Prepayment Accepting Lenders exceeds the Specified Discount Prepayment Amount, such prepayment shall be made pro rata among the Discount Prepayment Accepting Lenders in accordance with the respective principal amounts accepted to be prepaid by each such Discount Prepayment Accepting Lender and the Auction Agent (in consultation with such Borrower Party and subject to rounding requirements of the Auction Agent made in its reasonable discretion) will calculate such proration (the “</w:t>
      </w:r>
      <w:r>
        <w:rPr>
          <w:rFonts w:ascii="Times New Roman" w:cs="Times New Roman" w:eastAsia="Times New Roman" w:hAnsi="Times New Roman"/>
          <w:sz w:val="20"/>
          <w:szCs w:val="20"/>
          <w:b w:val="1"/>
          <w:bCs w:val="1"/>
          <w:color w:val="auto"/>
        </w:rPr>
        <w:t>Specified Discount Proration</w:t>
      </w:r>
      <w:r>
        <w:rPr>
          <w:rFonts w:ascii="Times New Roman" w:cs="Times New Roman" w:eastAsia="Times New Roman" w:hAnsi="Times New Roman"/>
          <w:sz w:val="20"/>
          <w:szCs w:val="20"/>
          <w:color w:val="auto"/>
        </w:rPr>
        <w:t xml:space="preserve">”). The Auction Agent shall promptly, and in any case within three (3) Business Days following the Specified Discount Prepayment Response Date, notify (1) the relevant Borrower Party of the respective Term Lenders’ responses to such offer, the Discounted Prepayment Effective Date and the aggregate principal amount of the Discounted Term Loan Prepayment and the Classes to be prepaid, (2) each Term Lender of the Discounted Prepayment Effective Date, and the aggregate principal amount and the Classes of Term Loans to be prepaid at the Specified Discount on such date, (3) each Discount Prepayment Accepting Lender of the Specified Discount Proration, if any, and confirmation of the principal amount, Class and Type of Term Loans of such Lender to be prepaid at the Specified Discount on such date and (4) the Administrative Agent to the extent not acting as the Auction Agent. Each determination by the Auction Agent of the amounts stated in the foregoing notices to the applicable Borrower Party and such Term Lenders shall be conclusive and binding for all purposes absent manifest error. The payment amount specified in such notice to the applicable Borrower Party shall be due and payable by such Borrower Party on the Discounted Prepayment Effective Date in accordance with </w:t>
      </w:r>
      <w:r>
        <w:rPr>
          <w:rFonts w:ascii="Times New Roman" w:cs="Times New Roman" w:eastAsia="Times New Roman" w:hAnsi="Times New Roman"/>
          <w:sz w:val="20"/>
          <w:szCs w:val="20"/>
          <w:u w:val="single" w:color="auto"/>
          <w:color w:val="auto"/>
        </w:rPr>
        <w:t>subsection (F)</w:t>
      </w:r>
      <w:r>
        <w:rPr>
          <w:rFonts w:ascii="Times New Roman" w:cs="Times New Roman" w:eastAsia="Times New Roman" w:hAnsi="Times New Roman"/>
          <w:sz w:val="20"/>
          <w:szCs w:val="20"/>
          <w:color w:val="auto"/>
        </w:rPr>
        <w:t xml:space="preserve"> below (subject to </w:t>
      </w:r>
      <w:r>
        <w:rPr>
          <w:rFonts w:ascii="Times New Roman" w:cs="Times New Roman" w:eastAsia="Times New Roman" w:hAnsi="Times New Roman"/>
          <w:sz w:val="20"/>
          <w:szCs w:val="20"/>
          <w:u w:val="single" w:color="auto"/>
          <w:color w:val="auto"/>
        </w:rPr>
        <w:t>subsection (J)</w:t>
      </w:r>
      <w:r>
        <w:rPr>
          <w:rFonts w:ascii="Times New Roman" w:cs="Times New Roman" w:eastAsia="Times New Roman" w:hAnsi="Times New Roman"/>
          <w:sz w:val="20"/>
          <w:szCs w:val="20"/>
          <w:color w:val="auto"/>
        </w:rPr>
        <w:t xml:space="preserve"> below).</w:t>
      </w:r>
    </w:p>
    <w:p>
      <w:pPr>
        <w:spacing w:after="0" w:line="190" w:lineRule="exact"/>
        <w:rPr>
          <w:sz w:val="20"/>
          <w:szCs w:val="20"/>
          <w:color w:val="auto"/>
        </w:rPr>
      </w:pPr>
    </w:p>
    <w:p>
      <w:pPr>
        <w:ind w:left="-20" w:right="40" w:firstLine="1505"/>
        <w:spacing w:after="0" w:line="241" w:lineRule="auto"/>
        <w:tabs>
          <w:tab w:leader="none" w:pos="1873"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Any Borrower Party may from time to time solicit Discount Range Prepayment Offers by providing the Auction Agent with five (5) Business Days’ notice (or such shorter period as agreed by the Auction Agent) in the form of a Discount Range Prepayment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any such solicitation shall be extended, at the sole discretion of such Borrower Party, to (i) each Term Lender or (ii) each Term Lender with respect to any Class of Term Loans on an individual Class basis, (b) any such notice shall specify the maximum aggregate principal amount of the relevant Term Loans (the “</w:t>
      </w:r>
      <w:r>
        <w:rPr>
          <w:rFonts w:ascii="Times New Roman" w:cs="Times New Roman" w:eastAsia="Times New Roman" w:hAnsi="Times New Roman"/>
          <w:sz w:val="20"/>
          <w:szCs w:val="20"/>
          <w:b w:val="1"/>
          <w:bCs w:val="1"/>
          <w:color w:val="auto"/>
        </w:rPr>
        <w:t>Discount Range Prepayment Amount</w:t>
      </w:r>
      <w:r>
        <w:rPr>
          <w:rFonts w:ascii="Times New Roman" w:cs="Times New Roman" w:eastAsia="Times New Roman" w:hAnsi="Times New Roman"/>
          <w:sz w:val="20"/>
          <w:szCs w:val="20"/>
          <w:color w:val="auto"/>
        </w:rPr>
        <w:t>”), the Class or Classes of Term Loans subject to such offer and the maximum and minimum percentage discounts to par (the “</w:t>
      </w:r>
      <w:r>
        <w:rPr>
          <w:rFonts w:ascii="Times New Roman" w:cs="Times New Roman" w:eastAsia="Times New Roman" w:hAnsi="Times New Roman"/>
          <w:sz w:val="20"/>
          <w:szCs w:val="20"/>
          <w:b w:val="1"/>
          <w:bCs w:val="1"/>
          <w:color w:val="auto"/>
        </w:rPr>
        <w:t>Discount Range</w:t>
      </w:r>
      <w:r>
        <w:rPr>
          <w:rFonts w:ascii="Times New Roman" w:cs="Times New Roman" w:eastAsia="Times New Roman" w:hAnsi="Times New Roman"/>
          <w:sz w:val="20"/>
          <w:szCs w:val="20"/>
          <w:color w:val="auto"/>
        </w:rPr>
        <w:t xml:space="preserve">”) of the principal amount of such Term Loans with respect to each relevant Class of Term Loans willing to be prepaid by such Borrower Party (it being understood that different Discount Ranges or Discount Range Prepayment Amounts may be offered with respect to different Classes of Term Loans and, in such event, each such offer will be treated as a separate offer pursuant to the terms of this </w:t>
      </w:r>
      <w:r>
        <w:rPr>
          <w:rFonts w:ascii="Times New Roman" w:cs="Times New Roman" w:eastAsia="Times New Roman" w:hAnsi="Times New Roman"/>
          <w:sz w:val="20"/>
          <w:szCs w:val="20"/>
          <w:u w:val="single" w:color="auto"/>
          <w:color w:val="auto"/>
        </w:rPr>
        <w:t>Section 2.05(1)(e)(C)</w:t>
      </w:r>
      <w:r>
        <w:rPr>
          <w:rFonts w:ascii="Times New Roman" w:cs="Times New Roman" w:eastAsia="Times New Roman" w:hAnsi="Times New Roman"/>
          <w:sz w:val="20"/>
          <w:szCs w:val="20"/>
          <w:color w:val="auto"/>
        </w:rPr>
        <w:t>), (c) the Discount Range Prepayment Amount shall be in an aggregate amount not less than $1,000,000 and whole increments of $500,000 in excess thereof and (d) unless rescinded, each such solicitation by the applicable Borrower Party shall remain outstanding through the Discount Range Prepayment Response Date (as defined below). The Auction Agent will promptly provide each Appropriate Lender with a copy of such Discount Range Prepayment Notice and a form of the Discount Range Prepayment Offer to be submitted by a responding Term Lender to the Auction Agent (or its delegate) by no later than 5:00 p.m., New York time, on the third Business Day after the date of delivery of such notice to such Lenders (the “</w:t>
      </w:r>
      <w:r>
        <w:rPr>
          <w:rFonts w:ascii="Times New Roman" w:cs="Times New Roman" w:eastAsia="Times New Roman" w:hAnsi="Times New Roman"/>
          <w:sz w:val="20"/>
          <w:szCs w:val="20"/>
          <w:b w:val="1"/>
          <w:bCs w:val="1"/>
          <w:color w:val="auto"/>
        </w:rPr>
        <w:t>Discount Range Prepayment Response Date</w:t>
      </w:r>
      <w:r>
        <w:rPr>
          <w:rFonts w:ascii="Times New Roman" w:cs="Times New Roman" w:eastAsia="Times New Roman" w:hAnsi="Times New Roman"/>
          <w:sz w:val="20"/>
          <w:szCs w:val="20"/>
          <w:color w:val="auto"/>
        </w:rPr>
        <w:t>”). Each Term Lender’s Discount Range Prepayment Offer shall be irrevocable and shall specify a discount to par within the Discount Range (the “</w:t>
      </w:r>
      <w:r>
        <w:rPr>
          <w:rFonts w:ascii="Times New Roman" w:cs="Times New Roman" w:eastAsia="Times New Roman" w:hAnsi="Times New Roman"/>
          <w:sz w:val="20"/>
          <w:szCs w:val="20"/>
          <w:b w:val="1"/>
          <w:bCs w:val="1"/>
          <w:color w:val="auto"/>
        </w:rPr>
        <w:t>Submitted Discount</w:t>
      </w:r>
      <w:r>
        <w:rPr>
          <w:rFonts w:ascii="Times New Roman" w:cs="Times New Roman" w:eastAsia="Times New Roman" w:hAnsi="Times New Roman"/>
          <w:sz w:val="20"/>
          <w:szCs w:val="20"/>
          <w:color w:val="auto"/>
        </w:rPr>
        <w:t>”) at which such Lender is willing to allow prepayment of any or all of its then outstanding Term Loans of the applicable Class or Classes and the maximum aggregate principal amount and Classes of such Lender’s Term Loans (the “</w:t>
      </w:r>
      <w:r>
        <w:rPr>
          <w:rFonts w:ascii="Times New Roman" w:cs="Times New Roman" w:eastAsia="Times New Roman" w:hAnsi="Times New Roman"/>
          <w:sz w:val="20"/>
          <w:szCs w:val="20"/>
          <w:b w:val="1"/>
          <w:bCs w:val="1"/>
          <w:color w:val="auto"/>
        </w:rPr>
        <w:t>Submitted Amount</w:t>
      </w:r>
      <w:r>
        <w:rPr>
          <w:rFonts w:ascii="Times New Roman" w:cs="Times New Roman" w:eastAsia="Times New Roman" w:hAnsi="Times New Roman"/>
          <w:sz w:val="20"/>
          <w:szCs w:val="20"/>
          <w:color w:val="auto"/>
        </w:rPr>
        <w:t>”) such Term Lender is willing to have prepaid at the Submitted Discount. Any Term Lender whose Discount Range Prepayment Offer is not received by the Auction Agent by the Discount Range Prepayment Response Date shall be deemed to have declined to</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accept a Discounted Term Loan Prepayment of any of its Term Loans at any discount to their par value within the Discount Range.</w:t>
      </w:r>
    </w:p>
    <w:p>
      <w:pPr>
        <w:spacing w:after="0" w:line="216" w:lineRule="exact"/>
        <w:rPr>
          <w:sz w:val="20"/>
          <w:szCs w:val="20"/>
          <w:color w:val="auto"/>
        </w:rPr>
      </w:pPr>
    </w:p>
    <w:p>
      <w:pPr>
        <w:ind w:firstLine="1505"/>
        <w:spacing w:after="0" w:line="241" w:lineRule="auto"/>
        <w:tabs>
          <w:tab w:leader="none" w:pos="1893"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Auction Agent shall review all Discount Range Prepayment Offers received on or before the applicable Discount Range Prepayment Response Date and shall determine (in consultation with such Borrower Party and subject to rounding requirements of the Auction Agent made in its sole reasonable discretion) the Applicable Discount and Term Loans to be prepaid at such Applicable Discount in accordance with this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The relevant Borrower Party agrees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cs="Times New Roman" w:eastAsia="Times New Roman" w:hAnsi="Times New Roman"/>
          <w:sz w:val="20"/>
          <w:szCs w:val="20"/>
          <w:b w:val="1"/>
          <w:bCs w:val="1"/>
          <w:color w:val="auto"/>
        </w:rPr>
        <w:t>Applicable Discount</w:t>
      </w:r>
      <w:r>
        <w:rPr>
          <w:rFonts w:ascii="Times New Roman" w:cs="Times New Roman" w:eastAsia="Times New Roman" w:hAnsi="Times New Roman"/>
          <w:sz w:val="20"/>
          <w:szCs w:val="20"/>
          <w:color w:val="auto"/>
        </w:rPr>
        <w:t xml:space="preserve">”) which yields a Discounted Term Loan Prepayment in an aggregate principal amount equal to the lower of (a) the Discount Range Prepayment Amount and (b)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w:t>
      </w:r>
      <w:r>
        <w:rPr>
          <w:rFonts w:ascii="Times New Roman" w:cs="Times New Roman" w:eastAsia="Times New Roman" w:hAnsi="Times New Roman"/>
          <w:sz w:val="20"/>
          <w:szCs w:val="20"/>
          <w:u w:val="single" w:color="auto"/>
          <w:color w:val="auto"/>
        </w:rPr>
        <w:t>subsection (3)</w:t>
      </w:r>
      <w:r>
        <w:rPr>
          <w:rFonts w:ascii="Times New Roman" w:cs="Times New Roman" w:eastAsia="Times New Roman" w:hAnsi="Times New Roman"/>
          <w:sz w:val="20"/>
          <w:szCs w:val="20"/>
          <w:color w:val="auto"/>
        </w:rPr>
        <w:t>) at the Applicable Discount (each such Term Lender, a “</w:t>
      </w:r>
      <w:r>
        <w:rPr>
          <w:rFonts w:ascii="Times New Roman" w:cs="Times New Roman" w:eastAsia="Times New Roman" w:hAnsi="Times New Roman"/>
          <w:sz w:val="20"/>
          <w:szCs w:val="20"/>
          <w:b w:val="1"/>
          <w:bCs w:val="1"/>
          <w:color w:val="auto"/>
        </w:rPr>
        <w:t>Participating Lender</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ind w:right="40" w:firstLine="1505"/>
        <w:spacing w:after="0" w:line="241" w:lineRule="auto"/>
        <w:tabs>
          <w:tab w:leader="none" w:pos="1893"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there is at least one Participating Lender, the relevant Borrower Party will prepay the respective outstanding Term Loans of each Participating Lender in the aggregate principal amount and of the Classes specified in such Lender’s Discount Range Prepayment Offer at the Applicable Discount;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equal to the Applicable Discount (the “</w:t>
      </w:r>
      <w:r>
        <w:rPr>
          <w:rFonts w:ascii="Times New Roman" w:cs="Times New Roman" w:eastAsia="Times New Roman" w:hAnsi="Times New Roman"/>
          <w:sz w:val="20"/>
          <w:szCs w:val="20"/>
          <w:b w:val="1"/>
          <w:bCs w:val="1"/>
          <w:color w:val="auto"/>
        </w:rPr>
        <w:t>Identified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Participating Lenders</w:t>
      </w:r>
      <w:r>
        <w:rPr>
          <w:rFonts w:ascii="Times New Roman" w:cs="Times New Roman" w:eastAsia="Times New Roman" w:hAnsi="Times New Roman"/>
          <w:sz w:val="20"/>
          <w:szCs w:val="20"/>
          <w:color w:val="auto"/>
        </w:rPr>
        <w:t>”) shall be made pro rata among the Identified Participating Lenders in accordance with the Submitted Amount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such Identified Participating Lender and the Auction Agent (in consultation with such Borrower Party and subject to rounding requirements of the Auction Agent made in its sole reasonable discretion) will calculate such proration (the “</w:t>
      </w:r>
      <w:r>
        <w:rPr>
          <w:rFonts w:ascii="Times New Roman" w:cs="Times New Roman" w:eastAsia="Times New Roman" w:hAnsi="Times New Roman"/>
          <w:sz w:val="20"/>
          <w:szCs w:val="20"/>
          <w:b w:val="1"/>
          <w:bCs w:val="1"/>
          <w:color w:val="auto"/>
        </w:rPr>
        <w:t>Discount Range Proration</w:t>
      </w:r>
      <w:r>
        <w:rPr>
          <w:rFonts w:ascii="Times New Roman" w:cs="Times New Roman" w:eastAsia="Times New Roman" w:hAnsi="Times New Roman"/>
          <w:sz w:val="20"/>
          <w:szCs w:val="20"/>
          <w:color w:val="auto"/>
        </w:rPr>
        <w:t xml:space="preserve">”). All Discount Range Prepayment Offers including a Submitted Discount at a discount to par greater than the Applicable Discount shall be repaid, and will not be subject to pro-ration. The Auction Agent shall promptly, and in any case within five (5) Business Days following the Discount Range Prepayment Response Date, notify (a) the relevant Borrower Party of the respective Term Lenders’ responses to such solicitation, the Discounted Prepayment Effective Date, the Applicable Discount, the aggregate principal amount of the Discounted Term Loan Prepayment and the Classes to be prepaid, (b) each Term Lender of the Discounted Prepayment Effective Date, the Applicable Discount and the aggregate principal amount and Classes of Term Loans to be prepaid at the Applicable Discount on such date, (c) each Participating Lender of the aggregate principal amount and Classes of such Term Lender to be prepaid at the Applicable Discount on such date, (d) if applicable, each Identified Participating Lender of the Discount Range Proration and (e) the Administrative Agent to the extent not acting as the Auction Agent. Each determination by the Auction Agent of the amounts stated in the foregoing notices to the relevant Borrower Party and Term Lenders shall be conclusive and binding for all purposes absent manifest error. The payment amount specified in such notice to the applicable Borrower Party shall be due and payable by such Borrower Party on the Discounted Prepayment Effective Date in accordance with </w:t>
      </w:r>
      <w:r>
        <w:rPr>
          <w:rFonts w:ascii="Times New Roman" w:cs="Times New Roman" w:eastAsia="Times New Roman" w:hAnsi="Times New Roman"/>
          <w:sz w:val="20"/>
          <w:szCs w:val="20"/>
          <w:u w:val="single" w:color="auto"/>
          <w:color w:val="auto"/>
        </w:rPr>
        <w:t>subsection (F)</w:t>
      </w:r>
      <w:r>
        <w:rPr>
          <w:rFonts w:ascii="Times New Roman" w:cs="Times New Roman" w:eastAsia="Times New Roman" w:hAnsi="Times New Roman"/>
          <w:sz w:val="20"/>
          <w:szCs w:val="20"/>
          <w:color w:val="auto"/>
        </w:rPr>
        <w:t xml:space="preserve"> below (subject to </w:t>
      </w:r>
      <w:r>
        <w:rPr>
          <w:rFonts w:ascii="Times New Roman" w:cs="Times New Roman" w:eastAsia="Times New Roman" w:hAnsi="Times New Roman"/>
          <w:sz w:val="20"/>
          <w:szCs w:val="20"/>
          <w:u w:val="single" w:color="auto"/>
          <w:color w:val="auto"/>
        </w:rPr>
        <w:t>subsection (J)</w:t>
      </w:r>
      <w:r>
        <w:rPr>
          <w:rFonts w:ascii="Times New Roman" w:cs="Times New Roman" w:eastAsia="Times New Roman" w:hAnsi="Times New Roman"/>
          <w:sz w:val="20"/>
          <w:szCs w:val="20"/>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-4829175</wp:posOffset>
            </wp:positionV>
            <wp:extent cx="2514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8">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-2797810</wp:posOffset>
            </wp:positionV>
            <wp:extent cx="2514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67" w:lineRule="exact"/>
        <w:rPr>
          <w:sz w:val="20"/>
          <w:szCs w:val="20"/>
          <w:color w:val="auto"/>
        </w:rPr>
      </w:pPr>
    </w:p>
    <w:p>
      <w:pPr>
        <w:ind w:right="440" w:firstLine="1505"/>
        <w:spacing w:after="0" w:line="269" w:lineRule="auto"/>
        <w:tabs>
          <w:tab w:leader="none" w:pos="1893"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Any Borrower Party may from time to time solicit Solicited Discounted Prepayment Offers by providing the Auction Agent with five (5) Business Days’ notice in the form of a</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32" w:name="page233"/>
    <w:bookmarkEnd w:id="232"/>
    <w:p>
      <w:pPr>
        <w:spacing w:after="0" w:line="241" w:lineRule="auto"/>
        <w:rPr>
          <w:sz w:val="20"/>
          <w:szCs w:val="20"/>
          <w:color w:val="auto"/>
        </w:rPr>
      </w:pPr>
      <w:r>
        <w:rPr>
          <w:rFonts w:ascii="Times New Roman" w:cs="Times New Roman" w:eastAsia="Times New Roman" w:hAnsi="Times New Roman"/>
          <w:sz w:val="20"/>
          <w:szCs w:val="20"/>
          <w:color w:val="auto"/>
        </w:rPr>
        <w:t xml:space="preserve">Solicited Discounted Prepayment Notice (or such later notice specified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any such solicitation shall be extended, at the sole discretion of such Borrower Party, to (i) each Term Lender or (ii) each Lender with respect to any Class of Term Loans on an individual Class basis, (b) any such notice shall specify the maximum aggregate amount of the Term Loans (the “</w:t>
      </w:r>
      <w:r>
        <w:rPr>
          <w:rFonts w:ascii="Times New Roman" w:cs="Times New Roman" w:eastAsia="Times New Roman" w:hAnsi="Times New Roman"/>
          <w:sz w:val="20"/>
          <w:szCs w:val="20"/>
          <w:b w:val="1"/>
          <w:bCs w:val="1"/>
          <w:color w:val="auto"/>
        </w:rPr>
        <w:t>Solicited Discounted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Prepayment Amount</w:t>
      </w:r>
      <w:r>
        <w:rPr>
          <w:rFonts w:ascii="Times New Roman" w:cs="Times New Roman" w:eastAsia="Times New Roman" w:hAnsi="Times New Roman"/>
          <w:sz w:val="20"/>
          <w:szCs w:val="20"/>
          <w:color w:val="auto"/>
        </w:rPr>
        <w:t>”) and the Class or Classes of Term Loans the applicable Borrower Party is willing to prepay at a discount (it being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understood that different Solicited Discounted Prepayment Amounts may be offered with respect to different Classes of Term Loans and, in such event, each such offer will be treated as a separate offer pursuant to the terms of this </w:t>
      </w:r>
      <w:r>
        <w:rPr>
          <w:rFonts w:ascii="Times New Roman" w:cs="Times New Roman" w:eastAsia="Times New Roman" w:hAnsi="Times New Roman"/>
          <w:sz w:val="20"/>
          <w:szCs w:val="20"/>
          <w:u w:val="single" w:color="auto"/>
          <w:color w:val="auto"/>
        </w:rPr>
        <w:t>Section 2.05(1)(e)(D)</w:t>
      </w:r>
      <w:r>
        <w:rPr>
          <w:rFonts w:ascii="Times New Roman" w:cs="Times New Roman" w:eastAsia="Times New Roman" w:hAnsi="Times New Roman"/>
          <w:sz w:val="20"/>
          <w:szCs w:val="20"/>
          <w:color w:val="auto"/>
        </w:rPr>
        <w:t>), (c) the Solicited Discounted Prepayment Amount shall be in an aggregate amount not less than $1,000,000 and whole increments of $500,000 in excess thereof and (d) unless rescinded, each such solicitation by the applicable Borrower Party shall remain outstanding through the Solicited Discounted Prepayment Response Date. The Auction Agent will promptly provide each Appropriate Lender with a copy of such Solicited Discounted Prepayment Notice and a form of the Solicited Discounted Prepayment Offer to be submitted by a responding Lender to the Auction Agent (or its delegate) by no later than 5:00 p.m., New York time, on the third Business Day after the date of delivery of such notice to such Term Lenders (the “</w:t>
      </w:r>
      <w:r>
        <w:rPr>
          <w:rFonts w:ascii="Times New Roman" w:cs="Times New Roman" w:eastAsia="Times New Roman" w:hAnsi="Times New Roman"/>
          <w:sz w:val="20"/>
          <w:szCs w:val="20"/>
          <w:b w:val="1"/>
          <w:bCs w:val="1"/>
          <w:color w:val="auto"/>
        </w:rPr>
        <w:t>Solicited Discounted Prepayment Response Date</w:t>
      </w:r>
      <w:r>
        <w:rPr>
          <w:rFonts w:ascii="Times New Roman" w:cs="Times New Roman" w:eastAsia="Times New Roman" w:hAnsi="Times New Roman"/>
          <w:sz w:val="20"/>
          <w:szCs w:val="20"/>
          <w:color w:val="auto"/>
        </w:rPr>
        <w:t>”). Each Term Lender’s Solicited Discounted Prepayment Offer shall (i) be irrevocable, (ii) remain outstanding until the Acceptance Date and (iii) specify both a discount to par (the “</w:t>
      </w:r>
      <w:r>
        <w:rPr>
          <w:rFonts w:ascii="Times New Roman" w:cs="Times New Roman" w:eastAsia="Times New Roman" w:hAnsi="Times New Roman"/>
          <w:sz w:val="20"/>
          <w:szCs w:val="20"/>
          <w:b w:val="1"/>
          <w:bCs w:val="1"/>
          <w:color w:val="auto"/>
        </w:rPr>
        <w:t>Offered Discount</w:t>
      </w:r>
      <w:r>
        <w:rPr>
          <w:rFonts w:ascii="Times New Roman" w:cs="Times New Roman" w:eastAsia="Times New Roman" w:hAnsi="Times New Roman"/>
          <w:sz w:val="20"/>
          <w:szCs w:val="20"/>
          <w:color w:val="auto"/>
        </w:rPr>
        <w:t>”) at which such Term Lender is willing to allow prepayment of its then outstanding Term Loan and the maximum aggregate principal amount and Classes of such Term Loans (the “</w:t>
      </w:r>
      <w:r>
        <w:rPr>
          <w:rFonts w:ascii="Times New Roman" w:cs="Times New Roman" w:eastAsia="Times New Roman" w:hAnsi="Times New Roman"/>
          <w:sz w:val="20"/>
          <w:szCs w:val="20"/>
          <w:b w:val="1"/>
          <w:bCs w:val="1"/>
          <w:color w:val="auto"/>
        </w:rPr>
        <w:t>Offered Amount</w:t>
      </w:r>
      <w:r>
        <w:rPr>
          <w:rFonts w:ascii="Times New Roman" w:cs="Times New Roman" w:eastAsia="Times New Roman" w:hAnsi="Times New Roman"/>
          <w:sz w:val="20"/>
          <w:szCs w:val="20"/>
          <w:color w:val="auto"/>
        </w:rPr>
        <w: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96" w:lineRule="exact"/>
        <w:rPr>
          <w:sz w:val="20"/>
          <w:szCs w:val="20"/>
          <w:color w:val="auto"/>
        </w:rPr>
      </w:pPr>
    </w:p>
    <w:p>
      <w:pPr>
        <w:ind w:right="100" w:firstLine="1505"/>
        <w:spacing w:after="0" w:line="256" w:lineRule="auto"/>
        <w:tabs>
          <w:tab w:leader="none" w:pos="1893"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Auction Agent shall promptly provide the relevant Borrower Party with a copy of all Solicited Discounted Prepayment Offers received on or before the Solicited Discounted Prepayment Response Date. Such Borrower Party shall review all such Solicited Discounted Prepayment Offers and select the smallest of the Offered Discounts specified by the relevant responding Term Lenders in the Solicited Discounted Prepayment Offers that is acceptable to the applicable Borrower Party (the “</w:t>
      </w:r>
      <w:r>
        <w:rPr>
          <w:rFonts w:ascii="Times New Roman" w:cs="Times New Roman" w:eastAsia="Times New Roman" w:hAnsi="Times New Roman"/>
          <w:sz w:val="19"/>
          <w:szCs w:val="19"/>
          <w:b w:val="1"/>
          <w:bCs w:val="1"/>
          <w:color w:val="auto"/>
        </w:rPr>
        <w:t>Acceptable Discount</w:t>
      </w:r>
      <w:r>
        <w:rPr>
          <w:rFonts w:ascii="Times New Roman" w:cs="Times New Roman" w:eastAsia="Times New Roman" w:hAnsi="Times New Roman"/>
          <w:sz w:val="19"/>
          <w:szCs w:val="19"/>
          <w:color w:val="auto"/>
        </w:rPr>
        <w:t xml:space="preserve">”), if any. If the applicable Borrower Party elects to accept any Offered Discount as the Acceptable Discount, then as soon as practicable after the determination of the Acceptable Discount, but in no event later than by the third Business Day after the date of receipt by such Borrower Party from the Auction Agent of a copy of all Solicited Discounted Prepayment Offers pursuant to the first sentence of this </w:t>
      </w:r>
      <w:r>
        <w:rPr>
          <w:rFonts w:ascii="Times New Roman" w:cs="Times New Roman" w:eastAsia="Times New Roman" w:hAnsi="Times New Roman"/>
          <w:sz w:val="19"/>
          <w:szCs w:val="19"/>
          <w:u w:val="single" w:color="auto"/>
          <w:color w:val="auto"/>
        </w:rPr>
        <w:t>subsection (2)</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Acceptance Date</w:t>
      </w:r>
      <w:r>
        <w:rPr>
          <w:rFonts w:ascii="Times New Roman" w:cs="Times New Roman" w:eastAsia="Times New Roman" w:hAnsi="Times New Roman"/>
          <w:sz w:val="19"/>
          <w:szCs w:val="19"/>
          <w:color w:val="auto"/>
        </w:rPr>
        <w:t>”), the applicable Borrower Party shall submit an Acceptance and Prepayment Notice to the Auction Agent setting forth the Acceptable Discount. If the Auction Agent shall fail to receive an Acceptance and Prepayment Notice from the applicable Borrower Party by the Acceptance Date, such Borrower Party shall be deemed to have rejected all Solicited Discounted Prepayment Offers.</w:t>
      </w:r>
    </w:p>
    <w:p>
      <w:pPr>
        <w:spacing w:after="0" w:line="180" w:lineRule="exact"/>
        <w:rPr>
          <w:rFonts w:ascii="Times New Roman" w:cs="Times New Roman" w:eastAsia="Times New Roman" w:hAnsi="Times New Roman"/>
          <w:sz w:val="19"/>
          <w:szCs w:val="19"/>
          <w:color w:val="auto"/>
        </w:rPr>
      </w:pPr>
    </w:p>
    <w:p>
      <w:pPr>
        <w:ind w:right="20" w:firstLine="1505"/>
        <w:spacing w:after="0" w:line="257" w:lineRule="auto"/>
        <w:tabs>
          <w:tab w:leader="none" w:pos="1893"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upon the Acceptable Discount and the Solicited Discounted Prepayment Offers received by the Auction Agent by the Solicited Discounted Prepayment Response Date, within three (3) Business Days after receipt of an Acceptance and Prepayment Notice (the “</w:t>
      </w:r>
      <w:r>
        <w:rPr>
          <w:rFonts w:ascii="Times New Roman" w:cs="Times New Roman" w:eastAsia="Times New Roman" w:hAnsi="Times New Roman"/>
          <w:sz w:val="19"/>
          <w:szCs w:val="19"/>
          <w:b w:val="1"/>
          <w:bCs w:val="1"/>
          <w:color w:val="auto"/>
        </w:rPr>
        <w:t>Discounted Prepayment Determination Date</w:t>
      </w:r>
      <w:r>
        <w:rPr>
          <w:rFonts w:ascii="Times New Roman" w:cs="Times New Roman" w:eastAsia="Times New Roman" w:hAnsi="Times New Roman"/>
          <w:sz w:val="19"/>
          <w:szCs w:val="19"/>
          <w:color w:val="auto"/>
        </w:rPr>
        <w:t>”), the Auction Agent will determine (with the consent of such Borrower Party and subject to rounding requirements of the Auction Agent made in its sole reasonable discretion) the aggregate principal amount and the Classes of Term Loans (the “</w:t>
      </w:r>
      <w:r>
        <w:rPr>
          <w:rFonts w:ascii="Times New Roman" w:cs="Times New Roman" w:eastAsia="Times New Roman" w:hAnsi="Times New Roman"/>
          <w:sz w:val="19"/>
          <w:szCs w:val="19"/>
          <w:b w:val="1"/>
          <w:bCs w:val="1"/>
          <w:color w:val="auto"/>
        </w:rPr>
        <w:t>Acceptable Prepayment Amount</w:t>
      </w:r>
      <w:r>
        <w:rPr>
          <w:rFonts w:ascii="Times New Roman" w:cs="Times New Roman" w:eastAsia="Times New Roman" w:hAnsi="Times New Roman"/>
          <w:sz w:val="19"/>
          <w:szCs w:val="19"/>
          <w:color w:val="auto"/>
        </w:rPr>
        <w:t xml:space="preserve">”) to be prepaid by the relevant Borrower Party at the Acceptable Discount in accordance with this </w:t>
      </w:r>
      <w:r>
        <w:rPr>
          <w:rFonts w:ascii="Times New Roman" w:cs="Times New Roman" w:eastAsia="Times New Roman" w:hAnsi="Times New Roman"/>
          <w:sz w:val="19"/>
          <w:szCs w:val="19"/>
          <w:u w:val="single" w:color="auto"/>
          <w:color w:val="auto"/>
        </w:rPr>
        <w:t>Section 2.05(1)(e)(D)</w:t>
      </w:r>
      <w:r>
        <w:rPr>
          <w:rFonts w:ascii="Times New Roman" w:cs="Times New Roman" w:eastAsia="Times New Roman" w:hAnsi="Times New Roman"/>
          <w:sz w:val="19"/>
          <w:szCs w:val="19"/>
          <w:color w:val="auto"/>
        </w:rPr>
        <w:t>. If the applicable Borrower Party elects to accept any Acceptable Discount, then such Borrower Party agrees to accept all Solicited Discounted Prepayment Offers received by the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0"/>
          <w:szCs w:val="20"/>
          <w:color w:val="auto"/>
        </w:rPr>
        <w:t>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cs="Times New Roman" w:eastAsia="Times New Roman" w:hAnsi="Times New Roman"/>
          <w:sz w:val="20"/>
          <w:szCs w:val="20"/>
          <w:b w:val="1"/>
          <w:bCs w:val="1"/>
          <w:color w:val="auto"/>
        </w:rPr>
        <w:t>Qualifying Lender</w:t>
      </w:r>
      <w:r>
        <w:rPr>
          <w:rFonts w:ascii="Times New Roman" w:cs="Times New Roman" w:eastAsia="Times New Roman" w:hAnsi="Times New Roman"/>
          <w:sz w:val="20"/>
          <w:szCs w:val="20"/>
          <w:color w:val="auto"/>
        </w:rPr>
        <w:t xml:space="preserve">”). The applicable Borrower Party will prepay outstanding Term Loans pursuant to this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to each Qualifying Lender in the aggregate principal amount and of the Classes specified in such Lender’s Solicited Discounted Prepayment Offer at the Acceptable Discount; provided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equal to the Acceptable Discount (the “</w:t>
      </w:r>
      <w:r>
        <w:rPr>
          <w:rFonts w:ascii="Times New Roman" w:cs="Times New Roman" w:eastAsia="Times New Roman" w:hAnsi="Times New Roman"/>
          <w:sz w:val="20"/>
          <w:szCs w:val="20"/>
          <w:b w:val="1"/>
          <w:bCs w:val="1"/>
          <w:color w:val="auto"/>
        </w:rPr>
        <w:t>Identified Qualifying Lenders</w:t>
      </w:r>
      <w:r>
        <w:rPr>
          <w:rFonts w:ascii="Times New Roman" w:cs="Times New Roman" w:eastAsia="Times New Roman" w:hAnsi="Times New Roman"/>
          <w:sz w:val="20"/>
          <w:szCs w:val="20"/>
          <w:color w:val="auto"/>
        </w:rPr>
        <w:t>”) shall be made pro rata among the Identified Qualifying Lenders in accordance with the Offered Amount of each such Identified Qualifying Lender and the Auction Agent (in consultation with such Borrower Party and subject to rounding requirements of the Auction Agent made in its sole reasonable discretion) will calculate such proration (the “</w:t>
      </w:r>
      <w:r>
        <w:rPr>
          <w:rFonts w:ascii="Times New Roman" w:cs="Times New Roman" w:eastAsia="Times New Roman" w:hAnsi="Times New Roman"/>
          <w:sz w:val="20"/>
          <w:szCs w:val="20"/>
          <w:b w:val="1"/>
          <w:bCs w:val="1"/>
          <w:color w:val="auto"/>
        </w:rPr>
        <w:t>Solicited Discount Proration</w:t>
      </w:r>
      <w:r>
        <w:rPr>
          <w:rFonts w:ascii="Times New Roman" w:cs="Times New Roman" w:eastAsia="Times New Roman" w:hAnsi="Times New Roman"/>
          <w:sz w:val="20"/>
          <w:szCs w:val="20"/>
          <w:color w:val="auto"/>
        </w:rPr>
        <w:t xml:space="preserve">”). All Offered Amounts including an Offered Discount at a discount to par greater than the Acceptable Discount shall be prepaid, and will not be subject to proration. On or prior to the Discounted Prepayment Determination Date, the Auction Agent shall promptly notify (a) the relevant Borrower Party of the Discounted Prepayment Effective Date and Acceptable Prepayment Amount comprising the Discounted Term Loan Prepayment and the Classes to be prepaid, (b) each Term Lender of the Discounted Prepayment Effective Date, the Acceptable Discount, and the Acceptable Prepayment Amount of all Term Loans and the Classes to be prepaid to be prepaid at the Applicable Discount on such date, (c) each Qualifying Lender of the aggregate principal amount and the Classes of such Term Lender to be prepaid at the Acceptable Discount on such date, (d) if applicable, each Identified Qualifying Lender of the Solicited Discount Proration and (e) the Administrative Agent to the extent not acting as the Auction Agent. Each determination by the Auction Agent of the amounts stated in the foregoing notices to such Borrower Party and Term Lenders shall be conclusive and binding for all purposes absent manifest error. The payment amount specified in such notice to such Borrower Party shall be due and payable by such Borrower Party on the Discounted Prepayment Effective Date in accordance with </w:t>
      </w:r>
      <w:r>
        <w:rPr>
          <w:rFonts w:ascii="Times New Roman" w:cs="Times New Roman" w:eastAsia="Times New Roman" w:hAnsi="Times New Roman"/>
          <w:sz w:val="20"/>
          <w:szCs w:val="20"/>
          <w:u w:val="single" w:color="auto"/>
          <w:color w:val="auto"/>
        </w:rPr>
        <w:t>subsection (F)</w:t>
      </w:r>
      <w:r>
        <w:rPr>
          <w:rFonts w:ascii="Times New Roman" w:cs="Times New Roman" w:eastAsia="Times New Roman" w:hAnsi="Times New Roman"/>
          <w:sz w:val="20"/>
          <w:szCs w:val="20"/>
          <w:color w:val="auto"/>
        </w:rPr>
        <w:t xml:space="preserve"> below (subject to </w:t>
      </w:r>
      <w:r>
        <w:rPr>
          <w:rFonts w:ascii="Times New Roman" w:cs="Times New Roman" w:eastAsia="Times New Roman" w:hAnsi="Times New Roman"/>
          <w:sz w:val="20"/>
          <w:szCs w:val="20"/>
          <w:u w:val="single" w:color="auto"/>
          <w:color w:val="auto"/>
        </w:rPr>
        <w:t>subsection (J)</w:t>
      </w:r>
      <w:r>
        <w:rPr>
          <w:rFonts w:ascii="Times New Roman" w:cs="Times New Roman" w:eastAsia="Times New Roman" w:hAnsi="Times New Roman"/>
          <w:sz w:val="20"/>
          <w:szCs w:val="20"/>
          <w:color w:val="auto"/>
        </w:rPr>
        <w:t xml:space="preserve"> below).</w:t>
      </w:r>
    </w:p>
    <w:p>
      <w:pPr>
        <w:spacing w:after="0" w:line="206" w:lineRule="exact"/>
        <w:rPr>
          <w:sz w:val="20"/>
          <w:szCs w:val="20"/>
          <w:color w:val="auto"/>
        </w:rPr>
      </w:pPr>
    </w:p>
    <w:p>
      <w:pPr>
        <w:ind w:right="20" w:firstLine="1505"/>
        <w:spacing w:after="0" w:line="246" w:lineRule="auto"/>
        <w:tabs>
          <w:tab w:leader="none" w:pos="1893"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connection with any Discounted Term Loan Prepayment, the Borrower Parties and the Term Lenders acknowledge and agree that the Auction Agent may require, as a condition to the applicable Discounted Term Loan Prepayment, the payment of customary fees and expenses from a Borrower Party to such Auction Agent for its own account in connection therewith. In addition, and for the avoidance of doubt, the Borrower shall not be required to represent or warrant that it is not in possession of material non-public information with respect to Holdings, the Borrower and/or its Subsidiaries.</w:t>
      </w:r>
    </w:p>
    <w:p>
      <w:pPr>
        <w:spacing w:after="0" w:line="184" w:lineRule="exact"/>
        <w:rPr>
          <w:rFonts w:ascii="Times New Roman" w:cs="Times New Roman" w:eastAsia="Times New Roman" w:hAnsi="Times New Roman"/>
          <w:sz w:val="20"/>
          <w:szCs w:val="20"/>
          <w:u w:val="single" w:color="auto"/>
          <w:color w:val="auto"/>
        </w:rPr>
      </w:pPr>
    </w:p>
    <w:p>
      <w:pPr>
        <w:ind w:right="20" w:firstLine="1505"/>
        <w:spacing w:after="0" w:line="242" w:lineRule="auto"/>
        <w:tabs>
          <w:tab w:leader="none" w:pos="1893"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any Term Loan is prepaid in accordance with </w:t>
      </w:r>
      <w:r>
        <w:rPr>
          <w:rFonts w:ascii="Times New Roman" w:cs="Times New Roman" w:eastAsia="Times New Roman" w:hAnsi="Times New Roman"/>
          <w:sz w:val="20"/>
          <w:szCs w:val="20"/>
          <w:u w:val="single" w:color="auto"/>
          <w:color w:val="auto"/>
        </w:rPr>
        <w:t>subsections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 Borrower Party shall prepay such Term Loans on the Discounted Prepayment Effective Date. The relevant Borrower Party shall make such prepayment to the Administrative Agent, for the account of the Discount Prepayment Accepting Lenders, Participating Lenders or Qualifying Lenders, as applicable, at the Administrative Agent’s Office in immediately available funds not later than 12:00 p.m., New York time, on the Discounted Prepayment Effective Date and all such prepayments shall be applied to the relevant Class(es) of Term Loans and Lenders as specified by the applicable Borrower Party in the applicable offer. The Term Loans so prepaid shall be accompanied by all accrued and unpaid interest on the par principal amount so prepaid up to, but not including, the Discounted Prepayment Effective Date. Each prepayment of the outstanding Term Loans pursuant to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shall be paid to the Discount Prepayment Accepting Lenders, Participating Lenders or Qualifying Lenders, as applicable, and shall be applied to the relevant Term Loans of such Lenders in accordance with their respective applicable share as calculated by the Auction Agent in accordance with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and, if the Administrative Agent is not the Auction Agent, the Administrative Agent shall be fully protected in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4" w:name="page235"/>
    <w:bookmarkEnd w:id="234"/>
    <w:p>
      <w:pPr>
        <w:ind w:right="80"/>
        <w:spacing w:after="0" w:line="254" w:lineRule="auto"/>
        <w:rPr>
          <w:sz w:val="20"/>
          <w:szCs w:val="20"/>
          <w:color w:val="auto"/>
        </w:rPr>
      </w:pPr>
      <w:r>
        <w:rPr>
          <w:rFonts w:ascii="Times New Roman" w:cs="Times New Roman" w:eastAsia="Times New Roman" w:hAnsi="Times New Roman"/>
          <w:sz w:val="20"/>
          <w:szCs w:val="20"/>
          <w:color w:val="auto"/>
        </w:rPr>
        <w:t>relying on such calculations of the Auction Agent. The aggregate principal amount of the Classes and installments of the relevant Term Loans outstanding shall be deemed reduced by the full par value of the aggregate principal amount of the Classes of Term Loans prepaid on the Discounted Prepayment Effective Date in any Discounted Term Loan Prepayment.</w:t>
      </w:r>
    </w:p>
    <w:p>
      <w:pPr>
        <w:spacing w:after="0" w:line="174" w:lineRule="exact"/>
        <w:rPr>
          <w:sz w:val="20"/>
          <w:szCs w:val="20"/>
          <w:color w:val="auto"/>
        </w:rPr>
      </w:pPr>
    </w:p>
    <w:p>
      <w:pPr>
        <w:ind w:right="340" w:firstLine="1505"/>
        <w:spacing w:after="0" w:line="254" w:lineRule="auto"/>
        <w:tabs>
          <w:tab w:leader="none" w:pos="1893" w:val="left"/>
        </w:tabs>
        <w:numPr>
          <w:ilvl w:val="0"/>
          <w:numId w:val="2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To the extent not expressly provided for herein, each Discounted Term Loan Prepayment shall be consummated pursuant to procedures consistent with the provisions in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established by the Auction Agent acting in its reasonable discretion and as reasonably agreed by the applicable Borrower Party.</w:t>
      </w:r>
    </w:p>
    <w:p>
      <w:pPr>
        <w:spacing w:after="0" w:line="174" w:lineRule="exact"/>
        <w:rPr>
          <w:rFonts w:ascii="Times New Roman" w:cs="Times New Roman" w:eastAsia="Times New Roman" w:hAnsi="Times New Roman"/>
          <w:sz w:val="20"/>
          <w:szCs w:val="20"/>
          <w:u w:val="single" w:color="auto"/>
          <w:color w:val="auto"/>
        </w:rPr>
      </w:pPr>
    </w:p>
    <w:p>
      <w:pPr>
        <w:ind w:right="40" w:firstLine="1505"/>
        <w:spacing w:after="0" w:line="246" w:lineRule="auto"/>
        <w:tabs>
          <w:tab w:leader="none" w:pos="1893" w:val="left"/>
        </w:tabs>
        <w:numPr>
          <w:ilvl w:val="0"/>
          <w:numId w:val="2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Notwithstanding anything in any Loan Document to the contrary, for purposes of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notice or communication actually received outside of normal business hours shall be deemed to have been given as of the opening of business on the next succeeding Business Day.</w:t>
      </w:r>
    </w:p>
    <w:p>
      <w:pPr>
        <w:spacing w:after="0" w:line="184" w:lineRule="exact"/>
        <w:rPr>
          <w:rFonts w:ascii="Times New Roman" w:cs="Times New Roman" w:eastAsia="Times New Roman" w:hAnsi="Times New Roman"/>
          <w:sz w:val="20"/>
          <w:szCs w:val="20"/>
          <w:u w:val="single" w:color="auto"/>
          <w:color w:val="auto"/>
        </w:rPr>
      </w:pPr>
    </w:p>
    <w:p>
      <w:pPr>
        <w:ind w:right="20" w:firstLine="1505"/>
        <w:spacing w:after="0" w:line="246" w:lineRule="auto"/>
        <w:tabs>
          <w:tab w:leader="none" w:pos="1893"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Borrower Parties and the Term Lenders acknowledge and agree that the Auction Agent may perform any and all of its duties under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as well as activities of the Auction Agent.</w:t>
      </w:r>
    </w:p>
    <w:p>
      <w:pPr>
        <w:spacing w:after="0" w:line="184" w:lineRule="exact"/>
        <w:rPr>
          <w:rFonts w:ascii="Times New Roman" w:cs="Times New Roman" w:eastAsia="Times New Roman" w:hAnsi="Times New Roman"/>
          <w:sz w:val="20"/>
          <w:szCs w:val="20"/>
          <w:color w:val="auto"/>
        </w:rPr>
      </w:pPr>
    </w:p>
    <w:p>
      <w:pPr>
        <w:ind w:firstLine="1505"/>
        <w:spacing w:after="0" w:line="245" w:lineRule="auto"/>
        <w:tabs>
          <w:tab w:leader="none" w:pos="1893"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Party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(and if such offer is revoked pursuant to the preceding clauses, any failure by such Borrower Party to make any prepayment to a Lender, as applicable, pursuant to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shall not constitute a Default or Event of Default under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or otherwise).</w:t>
      </w:r>
    </w:p>
    <w:p>
      <w:pPr>
        <w:spacing w:after="0" w:line="184" w:lineRule="exact"/>
        <w:rPr>
          <w:rFonts w:ascii="Times New Roman" w:cs="Times New Roman" w:eastAsia="Times New Roman" w:hAnsi="Times New Roman"/>
          <w:sz w:val="20"/>
          <w:szCs w:val="20"/>
          <w:color w:val="auto"/>
        </w:rPr>
      </w:pPr>
    </w:p>
    <w:p>
      <w:pPr>
        <w:ind w:right="100" w:firstLine="1505"/>
        <w:spacing w:after="0" w:line="245" w:lineRule="auto"/>
        <w:tabs>
          <w:tab w:leader="none" w:pos="1893" w:val="left"/>
        </w:tabs>
        <w:numPr>
          <w:ilvl w:val="0"/>
          <w:numId w:val="2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Notwithstanding the foregoing, the Borrower and the Administrative Agent may agree to modifications of the procedures above from time to time, without the need for notice to or consent of any Person; provided that such revised procedures shall be incorporated as part of the notice provided in any offer undertaken pursuant to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Further, notwithstanding anything to the contrary, the provisions of this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shall permit any transaction permitted by such Section to be conducted on a Class by Class basis and on a non-pro rata basis across Classes, in each case, as selected by the Borrower, so long as any such offer to prepay, repurchase, redeem or exchange is offered on the same terms to all Lenders in the applicable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-2636520</wp:posOffset>
            </wp:positionV>
            <wp:extent cx="2514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3">
                      <a:extLst>
                        <a:ext uri="{28A0092B-C50C-407E-A947-70E740481C1C}"/>
                      </a:extLst>
                    </a:blip>
                    <a:srcRect/>
                    <a:stretch>
                      <a:fillRect/>
                    </a:stretch>
                  </pic:blipFill>
                  <pic:spPr bwMode="auto">
                    <a:xfrm>
                      <a:off x="0" y="0"/>
                      <a:ext cx="251460" cy="889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-1771015</wp:posOffset>
            </wp:positionV>
            <wp:extent cx="25146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4">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64" w:lineRule="exact"/>
        <w:rPr>
          <w:sz w:val="20"/>
          <w:szCs w:val="20"/>
          <w:color w:val="auto"/>
        </w:rPr>
      </w:pPr>
    </w:p>
    <w:p>
      <w:pPr>
        <w:ind w:left="1900" w:hanging="395"/>
        <w:spacing w:after="0"/>
        <w:tabs>
          <w:tab w:leader="none" w:pos="190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320" w:hanging="440"/>
        <w:spacing w:after="0"/>
        <w:tabs>
          <w:tab w:leader="none" w:pos="2320"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following the Closing Date, (I) any Loan Party makes an Asset Sale of Collateral pursuant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-294005</wp:posOffset>
            </wp:positionV>
            <wp:extent cx="2514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auto"/>
        </w:rPr>
        <w:t>7.04(2) (an “</w:t>
      </w:r>
      <w:r>
        <w:rPr>
          <w:rFonts w:ascii="Times New Roman" w:cs="Times New Roman" w:eastAsia="Times New Roman" w:hAnsi="Times New Roman"/>
          <w:sz w:val="19"/>
          <w:szCs w:val="19"/>
          <w:b w:val="1"/>
          <w:bCs w:val="1"/>
          <w:color w:val="auto"/>
        </w:rPr>
        <w:t>Applicable Asset Sale</w:t>
      </w:r>
      <w:r>
        <w:rPr>
          <w:rFonts w:ascii="Times New Roman" w:cs="Times New Roman" w:eastAsia="Times New Roman" w:hAnsi="Times New Roman"/>
          <w:sz w:val="19"/>
          <w:szCs w:val="19"/>
          <w:color w:val="auto"/>
        </w:rPr>
        <w:t>”) or (II) any Casualty Event in respect of Collateral (the insurance proceeds or condemnation awards in respect of which are received by a Loan Party) occurs, which results in the realization or receipt by the Borrower or such Loan Party of Net</w:t>
      </w: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35" w:name="page236"/>
    <w:bookmarkEnd w:id="235"/>
    <w:p>
      <w:pPr>
        <w:ind w:right="280"/>
        <w:spacing w:after="0" w:line="264" w:lineRule="auto"/>
        <w:rPr>
          <w:sz w:val="20"/>
          <w:szCs w:val="20"/>
          <w:color w:val="auto"/>
        </w:rPr>
      </w:pPr>
      <w:r>
        <w:rPr>
          <w:rFonts w:ascii="Times New Roman" w:cs="Times New Roman" w:eastAsia="Times New Roman" w:hAnsi="Times New Roman"/>
          <w:sz w:val="19"/>
          <w:szCs w:val="19"/>
          <w:color w:val="auto"/>
        </w:rPr>
        <w:t xml:space="preserve">Proceeds, the Borrower shall prepay, or cause to be prepaid, on or prior to the date which is ten (10) Business Days after the date of the realization or receipt by the Borrower or such Loan Party of such Net Proceeds, subject to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2.05(2)(b)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clauses</w:t>
      </w:r>
    </w:p>
    <w:p>
      <w:pPr>
        <w:spacing w:after="0" w:line="239" w:lineRule="auto"/>
        <w:rPr>
          <w:sz w:val="20"/>
          <w:szCs w:val="20"/>
          <w:color w:val="auto"/>
        </w:rPr>
      </w:pPr>
      <w:r>
        <w:rPr>
          <w:rFonts w:ascii="Times New Roman" w:cs="Times New Roman" w:eastAsia="Times New Roman" w:hAnsi="Times New Roman"/>
          <w:sz w:val="20"/>
          <w:szCs w:val="20"/>
          <w:u w:val="single" w:color="auto"/>
          <w:color w:val="auto"/>
        </w:rPr>
        <w:t>(2)(f)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an aggregate principal amount of Term Loans equal to 100% (such percentage as it may be reduced as described below, the “</w:t>
      </w:r>
      <w:r>
        <w:rPr>
          <w:rFonts w:ascii="Times New Roman" w:cs="Times New Roman" w:eastAsia="Times New Roman" w:hAnsi="Times New Roman"/>
          <w:sz w:val="20"/>
          <w:szCs w:val="20"/>
          <w:b w:val="1"/>
          <w:bCs w:val="1"/>
          <w:color w:val="auto"/>
        </w:rPr>
        <w:t>Net Proceeds Percentage</w:t>
      </w:r>
      <w:r>
        <w:rPr>
          <w:rFonts w:ascii="Times New Roman" w:cs="Times New Roman" w:eastAsia="Times New Roman" w:hAnsi="Times New Roman"/>
          <w:sz w:val="20"/>
          <w:szCs w:val="20"/>
          <w:color w:val="auto"/>
        </w:rPr>
        <w:t xml:space="preserve">”) of all Net Proceeds realized or received;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prepayment shall be required pursuant to this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 xml:space="preserve"> with respect to such portion of such Net Proceeds that the Borrower reinvests (or intends to reinvest or has entered into a binding commitment or a binding letter of intent to reinvest) in accordance with </w:t>
      </w:r>
      <w:r>
        <w:rPr>
          <w:rFonts w:ascii="Times New Roman" w:cs="Times New Roman" w:eastAsia="Times New Roman" w:hAnsi="Times New Roman"/>
          <w:sz w:val="20"/>
          <w:szCs w:val="20"/>
          <w:u w:val="single" w:color="auto"/>
          <w:color w:val="auto"/>
        </w:rPr>
        <w:t>Section 2.05(2)(b)(ii)</w:t>
      </w:r>
      <w:r>
        <w:rPr>
          <w:rFonts w:ascii="Times New Roman" w:cs="Times New Roman" w:eastAsia="Times New Roman" w:hAnsi="Times New Roman"/>
          <w:sz w:val="20"/>
          <w:szCs w:val="20"/>
          <w:color w:val="auto"/>
        </w:rPr>
        <w:t xml:space="preserve"> and the Borrower does so reinvest such Net Proceeds;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(x) the Net Proceeds Percentage shall be 25% if the First Lien Net Leverage Ratio (on a pro forma basis after giving effect to such Applicable Asset Sale or Casualty Event, as applicable, and the use of proceeds thereof (including the repayment of any Indebtedness) and any repayments, prepayments, repurchases or redemptions of Indebtedness made on or prior to the date such repayment is required to be made) for the Test Period most recently ended prior to the date of such required prepayment is less than or equal to 1.50 to 1.00 and greater than 1.00 to 1.00 (with the Net Proceeds Percentage being calculated after giving effect to such prepayment at a rate of 100%) and (y) the Net Proceeds Percentage shall be 0% if the First Lien Net Leverage Ratio (on a pro forma basis after giving effect to such Applicable Asset Sale or Casualty Event, as applicable, and the use of proceeds thereof (including the repayment of any Indebtedness) and any repayments, prepayments, repurchases or redemptions of Indebtedness made on or prior to the date such repayment is required to be made) for the Test Period most recently ended prior to the date of such required prepayment is less than or equal to 1.00 to 1.00 (with the Net Proceeds Percentage being calculated after giving effect to such prepayment at a rate of 25%)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for purposes of determining the Net Proceeds Percentage, the First Lien Net Leverage Ratio shall be determined, at the Borrower’s option, either at the time of the applicable Asset Sale, at the time of entry into a definitive agreement in respect thereof or the time of the application of the Net Proceeds therefrom (and any prospective prepayment may, at the Borrower’s option, be tested at any time during the applicable reinvestment period pursuant to Section 2.05(b)(ii)));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w:t>
      </w:r>
    </w:p>
    <w:p>
      <w:pPr>
        <w:spacing w:after="0" w:line="203" w:lineRule="exact"/>
        <w:rPr>
          <w:sz w:val="20"/>
          <w:szCs w:val="20"/>
          <w:color w:val="auto"/>
        </w:rPr>
      </w:pPr>
    </w:p>
    <w:p>
      <w:pPr>
        <w:ind w:left="1500" w:right="80" w:firstLine="1503"/>
        <w:spacing w:after="0" w:line="242" w:lineRule="auto"/>
        <w:tabs>
          <w:tab w:leader="none" w:pos="3393"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the time that any such prepayment would be required, the Borrower (or any Restricted Subsidiary) is required to Discharge any Other Applicable Indebtedness with Other Applicable Net Proceeds pursuant to the terms of the documentation governing such Indebtedness, then the Borrower (or any Restricted Subsidiary) may apply such Net Proceeds otherwise required to repay the Term Loans pursuant to this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 xml:space="preserv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(determined on the basis of the aggregate outstanding principal amount of the Term Loans and Other Applicable Indebtedness requiring such Discharge at such time), to the prepayment of the Term Loans and to the repurchase or prepayment of Other Applicable Indebtedness, and the amount of prepayment of the Term Loans that would have otherwise been required pursuant to this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 xml:space="preserve"> shall be reduced accordingly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portion of such Net Proceeds allocated to the Other Applicable Indebtedness shall not exceed the amount of such Other Applicable Net Proceeds required to be allocated to the Other Applicable Indebtedness pursuant to the terms thereof and the remaining amount, if any, of such portion of Net Proceeds shall be allocated to the Term Loans to the extent required in accordance with the terms of this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 and</w:t>
      </w:r>
    </w:p>
    <w:p>
      <w:pPr>
        <w:spacing w:after="0" w:line="187" w:lineRule="exact"/>
        <w:rPr>
          <w:rFonts w:ascii="Times New Roman" w:cs="Times New Roman" w:eastAsia="Times New Roman" w:hAnsi="Times New Roman"/>
          <w:sz w:val="20"/>
          <w:szCs w:val="20"/>
          <w:color w:val="auto"/>
        </w:rPr>
      </w:pPr>
    </w:p>
    <w:p>
      <w:pPr>
        <w:jc w:val="both"/>
        <w:ind w:left="1500" w:right="140" w:firstLine="1503"/>
        <w:spacing w:after="0" w:line="249" w:lineRule="auto"/>
        <w:tabs>
          <w:tab w:leader="none" w:pos="3393"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holders of Other Applicable Indebtedness decline to have such Indebtedness repurchased or prepaid with such portion of such Net Proceeds, the declined amount shall promptly (and in any event within ten (10) Business Days after the date of such rejection) be applied to prepay the Term Loans to the extent required in accordance with the terms of this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6" w:name="page237"/>
    <w:bookmarkEnd w:id="236"/>
    <w:p>
      <w:pPr>
        <w:ind w:left="920" w:firstLine="1501"/>
        <w:spacing w:after="0" w:line="255" w:lineRule="auto"/>
        <w:tabs>
          <w:tab w:leader="none" w:pos="2813" w:val="left"/>
        </w:tabs>
        <w:numPr>
          <w:ilvl w:val="2"/>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Net Proceeds realized or received with respect to any Applicable Asset Sale or any Casualty Event, the Borrower or any other Loan Party, at its option, may reinvest all or any portion of such Net Proceeds in assets useful for their business within (I) eighteen (18) months following receipt of such Net Proceeds or (II) if the Borrower or any other Loan Party enters into a legally binding commitment or a signed letter of intent to reinvest such Net Proceeds within eighteen (18) months following receipt thereof, no later than one hundred eighty (180) days after the end of such eighteen (18) month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may elect to deem expenditures that otherwise would be permissible reinvestments that occur prior to receipt of such Net Proceeds to have been reinvested in accordance with the provisions of this </w:t>
      </w:r>
      <w:r>
        <w:rPr>
          <w:rFonts w:ascii="Times New Roman" w:cs="Times New Roman" w:eastAsia="Times New Roman" w:hAnsi="Times New Roman"/>
          <w:sz w:val="19"/>
          <w:szCs w:val="19"/>
          <w:u w:val="single" w:color="auto"/>
          <w:color w:val="auto"/>
        </w:rPr>
        <w:t>Section 2.05(2)(b)</w:t>
      </w:r>
    </w:p>
    <w:p>
      <w:pPr>
        <w:spacing w:after="0" w:line="3" w:lineRule="exact"/>
        <w:rPr>
          <w:rFonts w:ascii="Times New Roman" w:cs="Times New Roman" w:eastAsia="Times New Roman" w:hAnsi="Times New Roman"/>
          <w:sz w:val="19"/>
          <w:szCs w:val="19"/>
          <w:color w:val="auto"/>
        </w:rPr>
      </w:pPr>
    </w:p>
    <w:p>
      <w:pPr>
        <w:ind w:left="920" w:right="20" w:firstLine="4"/>
        <w:spacing w:after="0"/>
        <w:tabs>
          <w:tab w:leader="none" w:pos="1211" w:val="left"/>
        </w:tabs>
        <w:numPr>
          <w:ilvl w:val="0"/>
          <w:numId w:val="2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(it being understood that such deemed expenditures shall have been made no earlier than the earliest of notice to the Administrative Agent, execution of a definitive agreement for such Applicable Asset Sale and consummation of such Applicable Asset Sale or Casualty Event);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to the extent any such Net Proceeds are not reinvested on or prior to the last day of the reinvestment period set forth in this sub-section (ii) (or, if earlier, any date during such reinvestment period that the Borrower determines that such Net Proceeds are no longer intended to be or cannot be so reinvested) (the “</w:t>
      </w:r>
      <w:r>
        <w:rPr>
          <w:rFonts w:ascii="Times New Roman" w:cs="Times New Roman" w:eastAsia="Times New Roman" w:hAnsi="Times New Roman"/>
          <w:sz w:val="20"/>
          <w:szCs w:val="20"/>
          <w:b w:val="1"/>
          <w:bCs w:val="1"/>
          <w:color w:val="auto"/>
        </w:rPr>
        <w:t>Deferred 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Proceeds Date</w:t>
      </w:r>
      <w:r>
        <w:rPr>
          <w:rFonts w:ascii="Times New Roman" w:cs="Times New Roman" w:eastAsia="Times New Roman" w:hAnsi="Times New Roman"/>
          <w:sz w:val="20"/>
          <w:szCs w:val="20"/>
          <w:color w:val="auto"/>
        </w:rPr>
        <w:t>”), subject to clauses (f) and (g)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2.05(2)</w:t>
      </w:r>
      <w:r>
        <w:rPr>
          <w:rFonts w:ascii="Times New Roman" w:cs="Times New Roman" w:eastAsia="Times New Roman" w:hAnsi="Times New Roman"/>
          <w:sz w:val="20"/>
          <w:szCs w:val="20"/>
          <w:color w:val="auto"/>
        </w:rPr>
        <w:t>, such Net Proceeds that are not so reinvested on or prior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Deferred Net Proceeds Date shall be deemed to be Net Proceeds received on such Deferred Net Proceeds Date for purposes of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 xml:space="preserve"> and shall be applied as set forth in </w:t>
      </w:r>
      <w:r>
        <w:rPr>
          <w:rFonts w:ascii="Times New Roman" w:cs="Times New Roman" w:eastAsia="Times New Roman" w:hAnsi="Times New Roman"/>
          <w:sz w:val="20"/>
          <w:szCs w:val="20"/>
          <w:u w:val="single" w:color="auto"/>
          <w:color w:val="auto"/>
        </w:rPr>
        <w:t>Section 2.05(2)(b)(i)</w:t>
      </w:r>
      <w:r>
        <w:rPr>
          <w:rFonts w:ascii="Times New Roman" w:cs="Times New Roman" w:eastAsia="Times New Roman" w:hAnsi="Times New Roman"/>
          <w:sz w:val="20"/>
          <w:szCs w:val="20"/>
          <w:color w:val="auto"/>
        </w:rPr>
        <w:t xml:space="preserve"> within five Business Days after the Deferred Net Proceeds Date (for the avoidance of doubt, without any further reinvestment right with respect thereto under this </w:t>
      </w:r>
      <w:r>
        <w:rPr>
          <w:rFonts w:ascii="Times New Roman" w:cs="Times New Roman" w:eastAsia="Times New Roman" w:hAnsi="Times New Roman"/>
          <w:sz w:val="20"/>
          <w:szCs w:val="20"/>
          <w:u w:val="single" w:color="auto"/>
          <w:color w:val="auto"/>
        </w:rPr>
        <w:t>Section 2.05(2)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(b)(ii)</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u w:val="single" w:color="auto"/>
          <w:color w:val="auto"/>
        </w:rPr>
      </w:pPr>
    </w:p>
    <w:p>
      <w:pPr>
        <w:ind w:left="-20" w:right="140" w:firstLine="1880"/>
        <w:spacing w:after="0" w:line="244" w:lineRule="auto"/>
        <w:tabs>
          <w:tab w:leader="none" w:pos="2248"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or any Restricted Subsidiary incurs or issues any Indebtedness (i) not expressly permitted to be incurred or issued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(ii) that constitutes Other Loans or Credit Agreement Refinancing Indebtedness, in each case, incurred or issued to refinance any Class (or Classes) of Term Loans resulting in Net Proceeds (as opposed to such Credit Agreement Refinancing Indebtedness or Other Loans arising out of an exchange of existing Term Loans for such Credit Agreement Refinancing Indebtedness or Other Loans), the Borrower shall prepay, or cause to be prepaid, an aggregate principal amount of Term Loans of any Class or Classes (in each case, as directed by the Borrower) equal to 100% of all Net Proceeds received therefrom on or prior to the date which is five (5) Business Days after the receipt by the Borrower or such Restricted Subsidiary of such Net Proceeds.</w:t>
      </w:r>
    </w:p>
    <w:p>
      <w:pPr>
        <w:spacing w:after="0" w:line="185" w:lineRule="exact"/>
        <w:rPr>
          <w:rFonts w:ascii="Times New Roman" w:cs="Times New Roman" w:eastAsia="Times New Roman" w:hAnsi="Times New Roman"/>
          <w:sz w:val="20"/>
          <w:szCs w:val="20"/>
          <w:color w:val="auto"/>
        </w:rPr>
      </w:pPr>
    </w:p>
    <w:p>
      <w:pPr>
        <w:ind w:left="-20" w:right="320" w:firstLine="1880"/>
        <w:spacing w:after="0" w:line="245" w:lineRule="auto"/>
        <w:tabs>
          <w:tab w:leader="none" w:pos="2248"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Except as otherwise set forth in any Refinancing Amendment, Extension Amendment or Incremental Amendment, each prepayment of Term Loans required by </w:t>
      </w:r>
      <w:r>
        <w:rPr>
          <w:rFonts w:ascii="Times New Roman" w:cs="Times New Roman" w:eastAsia="Times New Roman" w:hAnsi="Times New Roman"/>
          <w:sz w:val="20"/>
          <w:szCs w:val="20"/>
          <w:u w:val="single" w:color="auto"/>
          <w:color w:val="auto"/>
        </w:rPr>
        <w:t>Sections 2.05(2)(b)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(c)(i)</w:t>
      </w:r>
      <w:r>
        <w:rPr>
          <w:rFonts w:ascii="Times New Roman" w:cs="Times New Roman" w:eastAsia="Times New Roman" w:hAnsi="Times New Roman"/>
          <w:sz w:val="20"/>
          <w:szCs w:val="20"/>
          <w:color w:val="auto"/>
        </w:rPr>
        <w:t xml:space="preserve"> shall be allocated to any Class of Term Loans outstanding as directed by the Borrower, shall be applied pro rata to Term Lenders within such Class of Term Loans, based upon the outstanding principal amounts owing to each such Term Lender under such Class of Term Loans and shall be applied to reduce such remaining scheduled installments of principal within such Class of Term Loans as directed by the Borrower (and absent such direction, in direct order of maturity);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4" w:lineRule="exact"/>
        <w:rPr>
          <w:rFonts w:ascii="Times New Roman" w:cs="Times New Roman" w:eastAsia="Times New Roman" w:hAnsi="Times New Roman"/>
          <w:sz w:val="20"/>
          <w:szCs w:val="20"/>
          <w:color w:val="auto"/>
        </w:rPr>
      </w:pPr>
    </w:p>
    <w:p>
      <w:pPr>
        <w:ind w:left="2240" w:right="200" w:firstLine="743"/>
        <w:spacing w:after="0" w:line="266" w:lineRule="auto"/>
        <w:tabs>
          <w:tab w:leader="none" w:pos="3384" w:val="left"/>
        </w:tabs>
        <w:numPr>
          <w:ilvl w:val="3"/>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prepayments may not be directed to a later maturing Class of Term Loans without at least a pro rata repayment of any earlier maturing Classes of Term Loans (except that any Class of Incremental Term Loans, Other Term Loans, Extended Term Loans or Replacement Loans may specify that one or more other Classes of later maturing Term Loans may be prepaid prior to such Class of earlier maturing Term Loans),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37" w:name="page238"/>
    <w:bookmarkEnd w:id="237"/>
    <w:p>
      <w:pPr>
        <w:ind w:left="2220" w:right="20" w:firstLine="743"/>
        <w:spacing w:after="0" w:line="245" w:lineRule="auto"/>
        <w:tabs>
          <w:tab w:leader="none" w:pos="3364" w:val="left"/>
        </w:tabs>
        <w:numPr>
          <w:ilvl w:val="2"/>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there are two or more outstanding Classes of Term Loans with the same Maturity Date, such prepayments may not be directed to any such Class of Term Loans without at least a pro rata repayment of any Classes of Term Loans maturing on the same date (except that any Class of Incremental Term Loans, Other Term Loans, Extended Term Loans or Replacement Loans may specify that one or more other Classes of Term Loans with the same Maturity Date may be prepaid prior to such Class of Term Loans maturing on the same date), and</w:t>
      </w:r>
    </w:p>
    <w:p>
      <w:pPr>
        <w:spacing w:after="0" w:line="184" w:lineRule="exact"/>
        <w:rPr>
          <w:rFonts w:ascii="Times New Roman" w:cs="Times New Roman" w:eastAsia="Times New Roman" w:hAnsi="Times New Roman"/>
          <w:sz w:val="20"/>
          <w:szCs w:val="20"/>
          <w:color w:val="auto"/>
        </w:rPr>
      </w:pPr>
    </w:p>
    <w:p>
      <w:pPr>
        <w:ind w:left="720" w:right="60" w:firstLine="745"/>
        <w:spacing w:after="0" w:line="254" w:lineRule="auto"/>
        <w:tabs>
          <w:tab w:leader="none" w:pos="186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prepayment of Term Loans required by </w:t>
      </w:r>
      <w:r>
        <w:rPr>
          <w:rFonts w:ascii="Times New Roman" w:cs="Times New Roman" w:eastAsia="Times New Roman" w:hAnsi="Times New Roman"/>
          <w:sz w:val="20"/>
          <w:szCs w:val="20"/>
          <w:u w:val="single" w:color="auto"/>
          <w:color w:val="auto"/>
        </w:rPr>
        <w:t>Section 2.05(2)(c)(ii)</w:t>
      </w:r>
      <w:r>
        <w:rPr>
          <w:rFonts w:ascii="Times New Roman" w:cs="Times New Roman" w:eastAsia="Times New Roman" w:hAnsi="Times New Roman"/>
          <w:sz w:val="20"/>
          <w:szCs w:val="20"/>
          <w:color w:val="auto"/>
        </w:rPr>
        <w:t xml:space="preserve"> shall be allocated to any Class or Classes of Term Loans being refinanced as directed by the Borrower and shall be applied pro rata to Term Lenders within each such Class, based upon the outstanding principal amounts owing to each such Term Lender under each such Class of Term Loans.</w:t>
      </w:r>
    </w:p>
    <w:p>
      <w:pPr>
        <w:spacing w:after="0" w:line="174" w:lineRule="exact"/>
        <w:rPr>
          <w:rFonts w:ascii="Times New Roman" w:cs="Times New Roman" w:eastAsia="Times New Roman" w:hAnsi="Times New Roman"/>
          <w:sz w:val="20"/>
          <w:szCs w:val="20"/>
          <w:color w:val="auto"/>
        </w:rPr>
      </w:pPr>
    </w:p>
    <w:p>
      <w:pPr>
        <w:ind w:left="-40" w:right="80" w:firstLine="1880"/>
        <w:spacing w:after="0" w:line="245" w:lineRule="auto"/>
        <w:tabs>
          <w:tab w:leader="none" w:pos="2228"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the aggregate Outstanding Amount of Revolving Loans, Swing Line Loans and L/C Obligations at any time exceeds the aggregate Revolving Commitments then in effect, the Borrower shall promptly prepay Revolving Loans and Swing Line Loans or Cash Collateralize the L/C Obligations in an aggregate amount equal to 103% of such excess;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be required to Cash Collateralize the L/C Obligations pursuant to this </w:t>
      </w:r>
      <w:r>
        <w:rPr>
          <w:rFonts w:ascii="Times New Roman" w:cs="Times New Roman" w:eastAsia="Times New Roman" w:hAnsi="Times New Roman"/>
          <w:sz w:val="20"/>
          <w:szCs w:val="20"/>
          <w:u w:val="single" w:color="auto"/>
          <w:color w:val="auto"/>
        </w:rPr>
        <w:t>Section 2.05(2)(e)</w:t>
      </w:r>
      <w:r>
        <w:rPr>
          <w:rFonts w:ascii="Times New Roman" w:cs="Times New Roman" w:eastAsia="Times New Roman" w:hAnsi="Times New Roman"/>
          <w:sz w:val="20"/>
          <w:szCs w:val="20"/>
          <w:color w:val="auto"/>
        </w:rPr>
        <w:t xml:space="preserve"> unless after the prepayment in full of the Revolving Loans and Swing Line Loans (as applicable) such aggregate Outstanding Amount of L/C Obligations exceeds the aggregate Revolving Commitments then in effect.</w:t>
      </w:r>
    </w:p>
    <w:p>
      <w:pPr>
        <w:spacing w:after="0" w:line="184" w:lineRule="exact"/>
        <w:rPr>
          <w:rFonts w:ascii="Times New Roman" w:cs="Times New Roman" w:eastAsia="Times New Roman" w:hAnsi="Times New Roman"/>
          <w:sz w:val="20"/>
          <w:szCs w:val="20"/>
          <w:color w:val="auto"/>
        </w:rPr>
      </w:pPr>
    </w:p>
    <w:p>
      <w:pPr>
        <w:ind w:left="-40" w:firstLine="1880"/>
        <w:spacing w:after="0" w:line="241" w:lineRule="auto"/>
        <w:tabs>
          <w:tab w:leader="none" w:pos="2228"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in writing of any mandatory prepayment of Term Loans required to be made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2.05(2)</w:t>
      </w:r>
      <w:r>
        <w:rPr>
          <w:rFonts w:ascii="Times New Roman" w:cs="Times New Roman" w:eastAsia="Times New Roman" w:hAnsi="Times New Roman"/>
          <w:sz w:val="20"/>
          <w:szCs w:val="20"/>
          <w:color w:val="auto"/>
        </w:rPr>
        <w:t xml:space="preserve"> at least three (3) Business Days prior to the date of such prepayment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2.05(2)</w:t>
      </w:r>
      <w:r>
        <w:rPr>
          <w:rFonts w:ascii="Times New Roman" w:cs="Times New Roman" w:eastAsia="Times New Roman" w:hAnsi="Times New Roman"/>
          <w:sz w:val="20"/>
          <w:szCs w:val="20"/>
          <w:color w:val="auto"/>
        </w:rPr>
        <w:t>, the Borrower may rescind (or delay the date of prepayment identified in) such notice if such prepayment would have resulted from a refinancing of all or any portion of the applicable Facility or other conditional event, which refinancing or other conditional event shall not be consummated or shall otherwise be delayed). Each such notice shall specify the date of such prepayment and provide a reasonably detailed calculation of the aggregate amount of such prepayment to be made by the Borrower. The Administrative Agent will promptly notify each Appropriate Lender of the contents of the Borrower’s prepayment notice and of such Appropriate Lender’s Pro Rata Share of the prepayment. Each Term Lender may reject all or a portion of its Pro Rata Share of any mandatory prepayment (such declined amounts, the “</w:t>
      </w:r>
      <w:r>
        <w:rPr>
          <w:rFonts w:ascii="Times New Roman" w:cs="Times New Roman" w:eastAsia="Times New Roman" w:hAnsi="Times New Roman"/>
          <w:sz w:val="20"/>
          <w:szCs w:val="20"/>
          <w:b w:val="1"/>
          <w:bCs w:val="1"/>
          <w:color w:val="auto"/>
        </w:rPr>
        <w:t>Declined Proceeds</w:t>
      </w:r>
      <w:r>
        <w:rPr>
          <w:rFonts w:ascii="Times New Roman" w:cs="Times New Roman" w:eastAsia="Times New Roman" w:hAnsi="Times New Roman"/>
          <w:sz w:val="20"/>
          <w:szCs w:val="20"/>
          <w:color w:val="auto"/>
        </w:rPr>
        <w:t xml:space="preserve">”) of Term Loans required to be made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this Section 2.05(2)</w:t>
      </w:r>
      <w:r>
        <w:rPr>
          <w:rFonts w:ascii="Times New Roman" w:cs="Times New Roman" w:eastAsia="Times New Roman" w:hAnsi="Times New Roman"/>
          <w:sz w:val="20"/>
          <w:szCs w:val="20"/>
          <w:color w:val="auto"/>
        </w:rPr>
        <w:t xml:space="preserve"> by providing written notice (each, a “</w:t>
      </w:r>
      <w:r>
        <w:rPr>
          <w:rFonts w:ascii="Times New Roman" w:cs="Times New Roman" w:eastAsia="Times New Roman" w:hAnsi="Times New Roman"/>
          <w:sz w:val="20"/>
          <w:szCs w:val="20"/>
          <w:b w:val="1"/>
          <w:bCs w:val="1"/>
          <w:color w:val="auto"/>
        </w:rPr>
        <w:t>Rejection Notice</w:t>
      </w:r>
      <w:r>
        <w:rPr>
          <w:rFonts w:ascii="Times New Roman" w:cs="Times New Roman" w:eastAsia="Times New Roman" w:hAnsi="Times New Roman"/>
          <w:sz w:val="20"/>
          <w:szCs w:val="20"/>
          <w:color w:val="auto"/>
        </w:rPr>
        <w:t>”) to the Administrative Agent and the Borrower no later than 5:00 p.m., New York time, two (2) Business Days after the date of such Lender’s receipt of notice from the Administrative Agent regarding such prepayment. Each Rejection Notice from a given Lender shall specify the principal amount of the mandatory repayment of Term Loans to be rejected by such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shall be retained by the Borrower (or the applicable Restricted Subsidiary) and may be applied by the Borrower or such Restricted Subsidiary in any manner not prohibited by this Agreement.</w:t>
      </w:r>
    </w:p>
    <w:p>
      <w:pPr>
        <w:spacing w:after="0" w:line="191" w:lineRule="exact"/>
        <w:rPr>
          <w:rFonts w:ascii="Times New Roman" w:cs="Times New Roman" w:eastAsia="Times New Roman" w:hAnsi="Times New Roman"/>
          <w:sz w:val="20"/>
          <w:szCs w:val="20"/>
          <w:color w:val="auto"/>
        </w:rPr>
      </w:pPr>
    </w:p>
    <w:p>
      <w:pPr>
        <w:ind w:left="-40" w:right="60" w:firstLine="1880"/>
        <w:spacing w:after="0" w:line="246" w:lineRule="auto"/>
        <w:tabs>
          <w:tab w:leader="none" w:pos="2228"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provisions of this </w:t>
      </w:r>
      <w:r>
        <w:rPr>
          <w:rFonts w:ascii="Times New Roman" w:cs="Times New Roman" w:eastAsia="Times New Roman" w:hAnsi="Times New Roman"/>
          <w:sz w:val="20"/>
          <w:szCs w:val="20"/>
          <w:u w:val="single" w:color="auto"/>
          <w:color w:val="auto"/>
        </w:rPr>
        <w:t>Section 2.05(2)</w:t>
      </w:r>
      <w:r>
        <w:rPr>
          <w:rFonts w:ascii="Times New Roman" w:cs="Times New Roman" w:eastAsia="Times New Roman" w:hAnsi="Times New Roman"/>
          <w:sz w:val="20"/>
          <w:szCs w:val="20"/>
          <w:color w:val="auto"/>
        </w:rPr>
        <w:t xml:space="preserve">, (i) to the extent that any or all of the Net Proceeds of any Applicable Asset Sale by a Foreign Subsidiary giving rise to a prepayment event pursuant to </w:t>
      </w:r>
      <w:r>
        <w:rPr>
          <w:rFonts w:ascii="Times New Roman" w:cs="Times New Roman" w:eastAsia="Times New Roman" w:hAnsi="Times New Roman"/>
          <w:sz w:val="20"/>
          <w:szCs w:val="20"/>
          <w:u w:val="single" w:color="auto"/>
          <w:color w:val="auto"/>
        </w:rPr>
        <w:t>Section 2.05(2)(b)</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color w:val="auto"/>
        </w:rPr>
        <w:t>Foreign Asset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Sale</w:t>
      </w:r>
      <w:r>
        <w:rPr>
          <w:rFonts w:ascii="Times New Roman" w:cs="Times New Roman" w:eastAsia="Times New Roman" w:hAnsi="Times New Roman"/>
          <w:sz w:val="20"/>
          <w:szCs w:val="20"/>
          <w:color w:val="auto"/>
        </w:rPr>
        <w:t>”), the Net Proceeds of any Casualty Event from a Foreign Subsidiary (a “</w:t>
      </w:r>
      <w:r>
        <w:rPr>
          <w:rFonts w:ascii="Times New Roman" w:cs="Times New Roman" w:eastAsia="Times New Roman" w:hAnsi="Times New Roman"/>
          <w:sz w:val="20"/>
          <w:szCs w:val="20"/>
          <w:b w:val="1"/>
          <w:bCs w:val="1"/>
          <w:color w:val="auto"/>
        </w:rPr>
        <w:t>Foreign Casualty Event</w:t>
      </w:r>
      <w:r>
        <w:rPr>
          <w:rFonts w:ascii="Times New Roman" w:cs="Times New Roman" w:eastAsia="Times New Roman" w:hAnsi="Times New Roman"/>
          <w:sz w:val="20"/>
          <w:szCs w:val="20"/>
          <w:color w:val="auto"/>
        </w:rPr>
        <w:t>”) are prohibited or delayed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local law, statutory duty, contractual obligation or any Organizational Document from being repatriated to the United States, an amount equal to the portion of such Net Proceeds so affected will not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630555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13" w:right="379" w:bottom="1440" w:gutter="0" w:footer="0" w:header="0"/>
        </w:sectPr>
      </w:pPr>
    </w:p>
    <w:bookmarkStart w:id="238" w:name="page239"/>
    <w:bookmarkEnd w:id="238"/>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be required to be applied to repay Term Loans at the times provided in this </w:t>
      </w:r>
      <w:r>
        <w:rPr>
          <w:rFonts w:ascii="Times New Roman" w:cs="Times New Roman" w:eastAsia="Times New Roman" w:hAnsi="Times New Roman"/>
          <w:sz w:val="20"/>
          <w:szCs w:val="20"/>
          <w:u w:val="single" w:color="auto"/>
          <w:color w:val="auto"/>
        </w:rPr>
        <w:t>Section 2.05(2)</w:t>
      </w:r>
      <w:r>
        <w:rPr>
          <w:rFonts w:ascii="Times New Roman" w:cs="Times New Roman" w:eastAsia="Times New Roman" w:hAnsi="Times New Roman"/>
          <w:sz w:val="20"/>
          <w:szCs w:val="20"/>
          <w:color w:val="auto"/>
        </w:rPr>
        <w:t xml:space="preserve"> (the Borrower hereby agreeing to cause the applicable Foreign Subsidiary to promptly take all actions reasonably required by the applicable local law to permit such repatriation) and (ii) to the extent that the Borrower has determined in good faith that repatriation of any of or all the Net Proceeds of any Foreign Asset Sale or Foreign Casualty Event would have a material adverse tax consequence for any Loan Party or any of such Loan Party’s Subsidiaries or any Parent Company (taking into account any foreign tax credit or benefit actually realized in connection with such repatriation) with respect to such Net Proceeds, an amount equal to the Net Proceeds so affected will not be required to be applied to repay Term Loans at the times provided in this </w:t>
      </w:r>
      <w:r>
        <w:rPr>
          <w:rFonts w:ascii="Times New Roman" w:cs="Times New Roman" w:eastAsia="Times New Roman" w:hAnsi="Times New Roman"/>
          <w:sz w:val="20"/>
          <w:szCs w:val="20"/>
          <w:u w:val="single" w:color="auto"/>
          <w:color w:val="auto"/>
        </w:rPr>
        <w:t>Section 2.05(2)</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Payment Block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be required to monitor any such Payment Block and/or to reserve cash for any future repatriation after the Borrower has notified the Administrative Agent of the existence of such Payment Block.</w:t>
      </w:r>
    </w:p>
    <w:p>
      <w:pPr>
        <w:spacing w:after="0" w:line="186" w:lineRule="exact"/>
        <w:rPr>
          <w:sz w:val="20"/>
          <w:szCs w:val="20"/>
          <w:color w:val="auto"/>
        </w:rPr>
      </w:pPr>
    </w:p>
    <w:p>
      <w:pPr>
        <w:ind w:right="260" w:firstLine="1880"/>
        <w:spacing w:after="0" w:line="249" w:lineRule="auto"/>
        <w:tabs>
          <w:tab w:leader="none" w:pos="226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prepayments under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(other than prepayments of Base Rate Revolving Loans that are not made in connection with the termination or permanent reduction of Revolving Commitments) shall be accompanied by all accrued interest thereon, together with in the case of any such prepayment of a Term Benchmark Rate Loan on a date prior to the last day of an Interest Period therefor, any amounts owing in respect of such Term Benchmark Rate Loan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right="60" w:firstLine="1497"/>
        <w:spacing w:after="0" w:line="255" w:lineRule="auto"/>
        <w:rPr>
          <w:sz w:val="20"/>
          <w:szCs w:val="20"/>
          <w:color w:val="auto"/>
        </w:rPr>
      </w:pPr>
      <w:r>
        <w:rPr>
          <w:rFonts w:ascii="Times New Roman" w:cs="Times New Roman" w:eastAsia="Times New Roman" w:hAnsi="Times New Roman"/>
          <w:sz w:val="19"/>
          <w:szCs w:val="19"/>
          <w:color w:val="auto"/>
        </w:rPr>
        <w:t xml:space="preserve">Notwithstanding any of the other provisions of this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so long as no Event of Default shall have occurred and be continuing, if any prepayment of Term Benchmark Rate Loans is required to be made under this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prior to the last day of the Interest Period therefor, in lieu of making any payment pursuant to this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in respect of any such Term Benchmark Rate Loan prior to the last day of the Interest Period therefor, the Borrower may, in its discretion,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cs="Times New Roman" w:eastAsia="Times New Roman" w:hAnsi="Times New Roman"/>
          <w:sz w:val="19"/>
          <w:szCs w:val="19"/>
          <w:u w:val="single" w:color="auto"/>
          <w:color w:val="auto"/>
        </w:rPr>
        <w:t>Section</w:t>
      </w:r>
    </w:p>
    <w:p>
      <w:pPr>
        <w:spacing w:after="0" w:line="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the relevant provisions of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Such deposit shall be deemed to be a prepayment of such Loans by the Borrower for all purposes under this Agreement.</w:t>
      </w:r>
    </w:p>
    <w:p>
      <w:pPr>
        <w:spacing w:after="0" w:line="188"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2.06</w:t>
      </w:r>
      <w:r>
        <w:rPr>
          <w:sz w:val="20"/>
          <w:szCs w:val="20"/>
          <w:color w:val="auto"/>
        </w:rPr>
        <w:tab/>
      </w:r>
      <w:r>
        <w:rPr>
          <w:rFonts w:ascii="Times New Roman" w:cs="Times New Roman" w:eastAsia="Times New Roman" w:hAnsi="Times New Roman"/>
          <w:sz w:val="19"/>
          <w:szCs w:val="19"/>
          <w:color w:val="auto"/>
        </w:rPr>
        <w:t>Termination or Reduction of Commitments.</w:t>
      </w:r>
    </w:p>
    <w:p>
      <w:pPr>
        <w:spacing w:after="0" w:line="216" w:lineRule="exact"/>
        <w:rPr>
          <w:sz w:val="20"/>
          <w:szCs w:val="20"/>
          <w:color w:val="auto"/>
        </w:rPr>
      </w:pPr>
    </w:p>
    <w:p>
      <w:pPr>
        <w:ind w:right="340" w:firstLine="1505"/>
        <w:spacing w:after="0" w:line="254" w:lineRule="auto"/>
        <w:tabs>
          <w:tab w:leader="none" w:pos="1893"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Borrower may, upon written notice by the Borrower to the Administrative Agent, terminate the unused Commitments of any Class, or from time to time permanently reduce the unused Commitments of any Class, in each case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74" w:lineRule="exact"/>
        <w:rPr>
          <w:rFonts w:ascii="Times New Roman" w:cs="Times New Roman" w:eastAsia="Times New Roman" w:hAnsi="Times New Roman"/>
          <w:sz w:val="20"/>
          <w:szCs w:val="20"/>
          <w:color w:val="auto"/>
        </w:rPr>
      </w:pPr>
    </w:p>
    <w:p>
      <w:pPr>
        <w:ind w:right="600" w:firstLine="1880"/>
        <w:spacing w:after="0" w:line="269" w:lineRule="auto"/>
        <w:tabs>
          <w:tab w:leader="none" w:pos="2268"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notice shall be received by the Administrative Agent three (3) Business Days prior to the date of termination or reduction (or such later date as may be agreed by the Administrative Agent),</w:t>
      </w:r>
    </w:p>
    <w:p>
      <w:pPr>
        <w:spacing w:after="0" w:line="159" w:lineRule="exact"/>
        <w:rPr>
          <w:rFonts w:ascii="Times New Roman" w:cs="Times New Roman" w:eastAsia="Times New Roman" w:hAnsi="Times New Roman"/>
          <w:sz w:val="20"/>
          <w:szCs w:val="20"/>
          <w:color w:val="auto"/>
        </w:rPr>
      </w:pPr>
    </w:p>
    <w:p>
      <w:pPr>
        <w:ind w:right="60" w:firstLine="1880"/>
        <w:spacing w:after="0" w:line="269" w:lineRule="auto"/>
        <w:tabs>
          <w:tab w:leader="none" w:pos="2268"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partial reduction shall be in an aggregate amount of $2,000,000 or any whole multiple of $1,000,000 in excess thereof or, if less, the entire amount thereof, and</w:t>
      </w:r>
    </w:p>
    <w:p>
      <w:pPr>
        <w:spacing w:after="0" w:line="159" w:lineRule="exact"/>
        <w:rPr>
          <w:rFonts w:ascii="Times New Roman" w:cs="Times New Roman" w:eastAsia="Times New Roman" w:hAnsi="Times New Roman"/>
          <w:sz w:val="20"/>
          <w:szCs w:val="20"/>
          <w:color w:val="auto"/>
        </w:rPr>
      </w:pPr>
    </w:p>
    <w:p>
      <w:pPr>
        <w:ind w:firstLine="1880"/>
        <w:spacing w:after="0" w:line="269" w:lineRule="auto"/>
        <w:tabs>
          <w:tab w:leader="none" w:pos="2268"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any reduction of the Commitments, the L/C Sublimit or Swing Line Sublimit exceeds the amount of the Revolving Facility, the L/C Sublimit shall be automatically reduced by the amount of such excess.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9" w:name="page240"/>
    <w:bookmarkEnd w:id="239"/>
    <w:p>
      <w:pPr>
        <w:ind w:right="160" w:firstLine="1497"/>
        <w:spacing w:after="0" w:line="266" w:lineRule="auto"/>
        <w:rPr>
          <w:sz w:val="20"/>
          <w:szCs w:val="20"/>
          <w:color w:val="auto"/>
        </w:rPr>
      </w:pPr>
      <w:r>
        <w:rPr>
          <w:rFonts w:ascii="Times New Roman" w:cs="Times New Roman" w:eastAsia="Times New Roman" w:hAnsi="Times New Roman"/>
          <w:sz w:val="19"/>
          <w:szCs w:val="19"/>
          <w:color w:val="auto"/>
        </w:rPr>
        <w:t>Except as provided above, the amount of any such Revolving Commitment reduction shall not be applied to the L/C Sublimit or Swing Line Sublimit unless otherwise specified by the Borrower. Notwithstanding the foregoing, the Borrower may rescind or postpone any notice of termination of any Commitments if such termination would have resulted from a refinancing of all of the applicable Facility or other conditional event, which refinancing or other conditional event shall not be consummated or shall otherwise be delayed.</w:t>
      </w:r>
    </w:p>
    <w:p>
      <w:pPr>
        <w:spacing w:after="0" w:line="165" w:lineRule="exact"/>
        <w:rPr>
          <w:sz w:val="20"/>
          <w:szCs w:val="20"/>
          <w:color w:val="auto"/>
        </w:rPr>
      </w:pPr>
    </w:p>
    <w:p>
      <w:pPr>
        <w:ind w:firstLine="1505"/>
        <w:spacing w:after="0" w:line="249" w:lineRule="auto"/>
        <w:tabs>
          <w:tab w:leader="none" w:pos="189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 xml:space="preserve">. The Closing Date Term Loan Commitment of each Term Lender on the Closing Date shall be automatically and permanently reduced to $0 upon the making of such Lender’s Closing Date Term Loans to the Borrower pursuant to </w:t>
      </w:r>
      <w:r>
        <w:rPr>
          <w:rFonts w:ascii="Times New Roman" w:cs="Times New Roman" w:eastAsia="Times New Roman" w:hAnsi="Times New Roman"/>
          <w:sz w:val="20"/>
          <w:szCs w:val="20"/>
          <w:u w:val="single" w:color="auto"/>
          <w:color w:val="auto"/>
        </w:rPr>
        <w:t>Section 2.01(1)</w:t>
      </w:r>
      <w:r>
        <w:rPr>
          <w:rFonts w:ascii="Times New Roman" w:cs="Times New Roman" w:eastAsia="Times New Roman" w:hAnsi="Times New Roman"/>
          <w:sz w:val="20"/>
          <w:szCs w:val="20"/>
          <w:color w:val="auto"/>
        </w:rPr>
        <w:t>. The Revolving Commitment of each Revolving Lender shall automatically and permanently terminate on the Maturity Date for the applicable Revolving Facility.</w:t>
      </w:r>
    </w:p>
    <w:p>
      <w:pPr>
        <w:spacing w:after="0" w:line="179" w:lineRule="exact"/>
        <w:rPr>
          <w:rFonts w:ascii="Times New Roman" w:cs="Times New Roman" w:eastAsia="Times New Roman" w:hAnsi="Times New Roman"/>
          <w:sz w:val="20"/>
          <w:szCs w:val="20"/>
          <w:color w:val="auto"/>
        </w:rPr>
      </w:pPr>
    </w:p>
    <w:p>
      <w:pPr>
        <w:ind w:right="160" w:firstLine="1505"/>
        <w:spacing w:after="0" w:line="245" w:lineRule="auto"/>
        <w:tabs>
          <w:tab w:leader="none" w:pos="189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The Administrative Agent will promptly notify the Appropriate Lenders of any termination or reduction of unused portions of the L/C Sublimit or the Swing Line Sublimit or the unused Commitments of any Class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Upon any reduction of unused Commitments of any Class, the Commitment of each Lender of such Class shall be reduced on a pro rata basis (determined on the basis of the aggregate Commitments under such Class) (other than the termination of the Commitment of any Lender as provided in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Any commitment fees accrued until the effective date of any termination of the Revolving Commitments shall be paid on the effective date of such termination.</w:t>
      </w:r>
    </w:p>
    <w:p>
      <w:pPr>
        <w:spacing w:after="0" w:line="18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9"/>
          <w:szCs w:val="19"/>
          <w:color w:val="auto"/>
        </w:rPr>
        <w:t>Repayment of Loans.</w:t>
      </w:r>
    </w:p>
    <w:p>
      <w:pPr>
        <w:spacing w:after="0" w:line="216" w:lineRule="exact"/>
        <w:rPr>
          <w:sz w:val="20"/>
          <w:szCs w:val="20"/>
          <w:color w:val="auto"/>
        </w:rPr>
      </w:pPr>
    </w:p>
    <w:p>
      <w:pPr>
        <w:ind w:firstLine="1505"/>
        <w:spacing w:after="0" w:line="254" w:lineRule="auto"/>
        <w:tabs>
          <w:tab w:leader="none" w:pos="1893"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xml:space="preserve">. The Borrower shall repay to the Administrative Agent for the ratable account of the Appropriate Lenders (a) on the last Business Day of each March, June, September and December, commencing with March 31, 2025, an aggregate principal amount equal to (i) for each such repayment date occurring on March 31, 2025, June 30, 2025, September 30, 2025 and December 31, 2025, 0.625% of the aggregate principal amount of all Closing Date Term Loans outstanding on the Closing Date, (ii) for each such repayment date occurring on March 31, 2026, June 30, 2026, September 30, 2026 and December 31, 2026, 1.25% of the aggregate principal amount of all Closing Date Term Loans outstanding on the Closing Date, (iii) for each such repayment date occurring on March 31, 2027, June 30, 2027, September 30, 2027 and December 31, 2027, 1.25% of the aggregate principal amount of all Closing Date Term Loans outstanding on the Closing Date, (iv) for each such repayment date occurring on March 31, 2028, June 30, 2028, September 30, 2028 and December 31, 2028, 1.875% of the aggregate principal amount of all Closing Date Term Loans outstanding on the Closing Date and (v) for each such repayment date occurring on March 31, 2029, June 30, 2029 and September 30, 2029, 2.5% of the aggregate principal amount of all Closing Date Term Loans outstanding on the Closing Date (in each case, which payments shall be reduced as a result of the application of prepayments in accordance with the order of priority set forth in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or reduced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by the par value of the aggregate principal amount of Closing Date Term Loans purchased or contributed pursuant to open market purchases or Dutch auctions (and subsequently cancelled and retired)) and (b) on the Maturity Date for the Closing Date Term Loans, the aggregate principal amount of all Closing Date Term Loans outstanding on such date. In connection with any Incremental Term Loans that constitute part of the same Class as the Closing Date Term Loans, the Borrower and the Administrative Agent shall be permitted to adjust the rate of prepayment in respect of such Class such that the Term Lenders holding Closing Date Term Loans comprising part of such Class continue to receive a payment that is not less than the same Dollar amount that such Term Lenders would have received absent the incurrence of such Incremental Term Loans;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Incremental Term Loans are to be “fungible” with the Closing Date Term Loans notwithstanding any other conditions specified in this </w:t>
      </w:r>
      <w:r>
        <w:rPr>
          <w:rFonts w:ascii="Times New Roman" w:cs="Times New Roman" w:eastAsia="Times New Roman" w:hAnsi="Times New Roman"/>
          <w:sz w:val="19"/>
          <w:szCs w:val="19"/>
          <w:u w:val="single" w:color="auto"/>
          <w:color w:val="auto"/>
        </w:rPr>
        <w:t>Section 2.07(1)</w:t>
      </w:r>
      <w:r>
        <w:rPr>
          <w:rFonts w:ascii="Times New Roman" w:cs="Times New Roman" w:eastAsia="Times New Roman" w:hAnsi="Times New Roman"/>
          <w:sz w:val="19"/>
          <w:szCs w:val="19"/>
          <w:color w:val="auto"/>
        </w:rPr>
        <w:t>, the amortization schedule for such “fungible” Incremental Term Loan may provide for amortization in such other</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40" w:name="page241"/>
    <w:bookmarkEnd w:id="240"/>
    <w:p>
      <w:pPr>
        <w:ind w:right="400"/>
        <w:spacing w:after="0" w:line="269" w:lineRule="auto"/>
        <w:rPr>
          <w:sz w:val="20"/>
          <w:szCs w:val="20"/>
          <w:color w:val="auto"/>
        </w:rPr>
      </w:pPr>
      <w:r>
        <w:rPr>
          <w:rFonts w:ascii="Times New Roman" w:cs="Times New Roman" w:eastAsia="Times New Roman" w:hAnsi="Times New Roman"/>
          <w:sz w:val="20"/>
          <w:szCs w:val="20"/>
          <w:color w:val="auto"/>
        </w:rPr>
        <w:t>percentage(s) to be agreed by the Borrower and the Administrative Agent to provide that the Incremental Term Loans will be (or will be deemed to be) “fungible” with the Closing Date Term Loans.</w:t>
      </w:r>
    </w:p>
    <w:p>
      <w:pPr>
        <w:spacing w:after="0" w:line="159" w:lineRule="exact"/>
        <w:rPr>
          <w:sz w:val="20"/>
          <w:szCs w:val="20"/>
          <w:color w:val="auto"/>
        </w:rPr>
      </w:pPr>
    </w:p>
    <w:p>
      <w:pPr>
        <w:ind w:right="160" w:firstLine="1505"/>
        <w:spacing w:after="0" w:line="254" w:lineRule="auto"/>
        <w:tabs>
          <w:tab w:leader="none" w:pos="1893"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The Borrower shall repay to the Administrative Agent for the ratable account of the Appropriate Lenders on the Maturity Date for the applicable Revolving Facility the aggregate principal amount of all Revolving Loans under such Facility outstanding on such date.</w:t>
      </w:r>
    </w:p>
    <w:p>
      <w:pPr>
        <w:spacing w:after="0" w:line="174" w:lineRule="exact"/>
        <w:rPr>
          <w:rFonts w:ascii="Times New Roman" w:cs="Times New Roman" w:eastAsia="Times New Roman" w:hAnsi="Times New Roman"/>
          <w:sz w:val="20"/>
          <w:szCs w:val="20"/>
          <w:color w:val="auto"/>
        </w:rPr>
      </w:pPr>
    </w:p>
    <w:p>
      <w:pPr>
        <w:ind w:right="580" w:firstLine="1505"/>
        <w:spacing w:after="0" w:line="269" w:lineRule="auto"/>
        <w:tabs>
          <w:tab w:leader="none" w:pos="1893"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Borrower shall repay the aggregate principal amount of each Swing Line Loan on the Maturity Date for the applicable Revolving Facility.</w:t>
      </w:r>
    </w:p>
    <w:p>
      <w:pPr>
        <w:spacing w:after="0" w:line="159"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2.08</w:t>
      </w:r>
      <w:r>
        <w:rPr>
          <w:sz w:val="20"/>
          <w:szCs w:val="20"/>
          <w:color w:val="auto"/>
        </w:rPr>
        <w:tab/>
      </w:r>
      <w:r>
        <w:rPr>
          <w:rFonts w:ascii="Times New Roman" w:cs="Times New Roman" w:eastAsia="Times New Roman" w:hAnsi="Times New Roman"/>
          <w:sz w:val="20"/>
          <w:szCs w:val="20"/>
          <w:color w:val="auto"/>
        </w:rPr>
        <w:t>Interest.</w:t>
      </w:r>
    </w:p>
    <w:p>
      <w:pPr>
        <w:spacing w:after="0" w:line="216" w:lineRule="exact"/>
        <w:rPr>
          <w:sz w:val="20"/>
          <w:szCs w:val="20"/>
          <w:color w:val="auto"/>
        </w:rPr>
      </w:pPr>
    </w:p>
    <w:p>
      <w:pPr>
        <w:ind w:right="20" w:firstLine="1505"/>
        <w:spacing w:after="0" w:line="245" w:lineRule="auto"/>
        <w:tabs>
          <w:tab w:leader="none" w:pos="1893"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2.08(2)</w:t>
      </w:r>
      <w:r>
        <w:rPr>
          <w:rFonts w:ascii="Times New Roman" w:cs="Times New Roman" w:eastAsia="Times New Roman" w:hAnsi="Times New Roman"/>
          <w:sz w:val="20"/>
          <w:szCs w:val="20"/>
          <w:color w:val="auto"/>
        </w:rPr>
        <w:t xml:space="preserve">, (a) each Term Benchmark Rate Loan shall bear interest on the outstanding principal amount thereof for each Interest Period at a rate per annum equal to the Term Benchmark Rate for such Interest Period, </w:t>
      </w: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the Applicable Rate, (b) each Base Rate Loan shall bear interest on the outstanding principal amount thereof from the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Borrowing date at a rate per annum equal to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and (c)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with respect to Revolving Loans.</w:t>
      </w:r>
    </w:p>
    <w:p>
      <w:pPr>
        <w:spacing w:after="0" w:line="184" w:lineRule="exact"/>
        <w:rPr>
          <w:rFonts w:ascii="Times New Roman" w:cs="Times New Roman" w:eastAsia="Times New Roman" w:hAnsi="Times New Roman"/>
          <w:sz w:val="20"/>
          <w:szCs w:val="20"/>
          <w:color w:val="auto"/>
        </w:rPr>
      </w:pPr>
    </w:p>
    <w:p>
      <w:pPr>
        <w:ind w:right="220" w:firstLine="1505"/>
        <w:spacing w:after="0" w:line="266" w:lineRule="auto"/>
        <w:tabs>
          <w:tab w:leader="none" w:pos="1893"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continuance of a Default under </w:t>
      </w:r>
      <w:r>
        <w:rPr>
          <w:rFonts w:ascii="Times New Roman" w:cs="Times New Roman" w:eastAsia="Times New Roman" w:hAnsi="Times New Roman"/>
          <w:sz w:val="19"/>
          <w:szCs w:val="19"/>
          <w:u w:val="single" w:color="auto"/>
          <w:color w:val="auto"/>
        </w:rPr>
        <w:t>Section 8.01(1)</w:t>
      </w:r>
      <w:r>
        <w:rPr>
          <w:rFonts w:ascii="Times New Roman" w:cs="Times New Roman" w:eastAsia="Times New Roman" w:hAnsi="Times New Roman"/>
          <w:sz w:val="19"/>
          <w:szCs w:val="19"/>
          <w:color w:val="auto"/>
        </w:rPr>
        <w:t xml:space="preserve">, the Borrower shall pay interest on past due amounts hereunder at a fluctuating interest rate per annum at all times equal to the Default Rate to the fullest extent permitted by applicable Laws;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no interest at the Default Rate shall accrue or be payable to a Defaulting Lender so long as such Lender shall be a Defaulting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 Accrued and unpaid interest on past due amounts (including interest on past due interest) shall be due and payable upon demand.</w:t>
      </w:r>
    </w:p>
    <w:p>
      <w:pPr>
        <w:spacing w:after="0" w:line="165" w:lineRule="exact"/>
        <w:rPr>
          <w:rFonts w:ascii="Times New Roman" w:cs="Times New Roman" w:eastAsia="Times New Roman" w:hAnsi="Times New Roman"/>
          <w:sz w:val="19"/>
          <w:szCs w:val="19"/>
          <w:color w:val="auto"/>
        </w:rPr>
      </w:pPr>
    </w:p>
    <w:p>
      <w:pPr>
        <w:ind w:firstLine="1505"/>
        <w:spacing w:after="0" w:line="254" w:lineRule="auto"/>
        <w:tabs>
          <w:tab w:leader="none" w:pos="1893"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2.09</w:t>
      </w:r>
      <w:r>
        <w:rPr>
          <w:sz w:val="20"/>
          <w:szCs w:val="20"/>
          <w:color w:val="auto"/>
        </w:rPr>
        <w:tab/>
      </w:r>
      <w:r>
        <w:rPr>
          <w:rFonts w:ascii="Times New Roman" w:cs="Times New Roman" w:eastAsia="Times New Roman" w:hAnsi="Times New Roman"/>
          <w:sz w:val="20"/>
          <w:szCs w:val="20"/>
          <w:color w:val="auto"/>
        </w:rPr>
        <w:t>Fees.</w:t>
      </w:r>
    </w:p>
    <w:p>
      <w:pPr>
        <w:spacing w:after="0" w:line="216" w:lineRule="exact"/>
        <w:rPr>
          <w:sz w:val="20"/>
          <w:szCs w:val="20"/>
          <w:color w:val="auto"/>
        </w:rPr>
      </w:pPr>
    </w:p>
    <w:p>
      <w:pPr>
        <w:ind w:right="60" w:firstLine="1505"/>
        <w:spacing w:after="0" w:line="256" w:lineRule="auto"/>
        <w:tabs>
          <w:tab w:leader="none" w:pos="1893"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Commitment Fee</w:t>
      </w:r>
      <w:r>
        <w:rPr>
          <w:rFonts w:ascii="Times New Roman" w:cs="Times New Roman" w:eastAsia="Times New Roman" w:hAnsi="Times New Roman"/>
          <w:sz w:val="19"/>
          <w:szCs w:val="19"/>
          <w:color w:val="auto"/>
        </w:rPr>
        <w:t xml:space="preserve">. The Borrower agrees to pay to the Administrative Agent for the account of each Revolving Lender under the Revolving Facility in accordance with its Applicable Percentage, a commitment fee equal to the applicable Commitment Fee Rate times the actual daily amount by which the aggregate Revolving Commitments exceed the sum of (a) the Outstanding Amount of Revolving Loans (for the avoidance of doubt, excluding any Swing Line Loans) and (b) the Outstanding Amount of L/C Obligations;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any commitment fee accrued with respect to any of the Commitments of a Defaulting Lender under such Revolving Facility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no commitment fee shall accrue on any of the Commitments under any Revolving Facility of a Defaulting Lender so long as such Lender shall be a Defaulting Lender. The commitment fee on each Revolving Commitment shall accrue at all times from the Closing Date (or date of initial effectiveness, as applicable) (and for the avoidance of doubt, the commitment fee on the Revolving Commitment under the Closing Date Revolving Facility shall accrue from the Closing Date) until the Maturity Date for the applicable Revolving Commitment, including at any time during which one or more of the conditions in</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41" w:name="page242"/>
    <w:bookmarkEnd w:id="241"/>
    <w:p>
      <w:pPr>
        <w:ind w:right="20"/>
        <w:spacing w:after="0" w:line="246" w:lineRule="auto"/>
        <w:rPr>
          <w:sz w:val="20"/>
          <w:szCs w:val="20"/>
          <w:color w:val="auto"/>
        </w:rPr>
      </w:pP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of March, June, September and December, commencing with March 31, 2025, and on the Maturity Date for such Revolving Facility. The commitment fee shall be calculated quarterly in arrears, and if there is any change in the Commitment Fee Rate during any quarter, the actual daily amount shall be computed and multiplied by the Commitment Fee Rate separately for each period during such quarter that such Commitment Fee Rate was in effect.</w:t>
      </w:r>
    </w:p>
    <w:p>
      <w:pPr>
        <w:spacing w:after="0" w:line="185" w:lineRule="exact"/>
        <w:rPr>
          <w:sz w:val="20"/>
          <w:szCs w:val="20"/>
          <w:color w:val="auto"/>
        </w:rPr>
      </w:pPr>
    </w:p>
    <w:p>
      <w:pPr>
        <w:jc w:val="both"/>
        <w:ind w:right="380" w:firstLine="1505"/>
        <w:spacing w:after="0" w:line="254" w:lineRule="auto"/>
        <w:tabs>
          <w:tab w:leader="none" w:pos="1893"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The Borrower shall pay to the Agents such fees as shall have been separately agreed upon in the Fee Letter at the times so specified therein. Such fees shall be fully earned when paid and shall not be refundable for any reason whatsoever (except as expressly agreed between the Borrower and the applicable Agent).</w:t>
      </w:r>
    </w:p>
    <w:p>
      <w:pPr>
        <w:spacing w:after="0" w:line="17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2.10 Computation of Interest and Fees. All computations of interest for Base Rate Loans shall be made on the basis of a year of 365 days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2.12(1)</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8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color w:val="auto"/>
        </w:rPr>
        <w:t>Evidence of Indebtedness.</w:t>
      </w:r>
    </w:p>
    <w:p>
      <w:pPr>
        <w:spacing w:after="0" w:line="216" w:lineRule="exact"/>
        <w:rPr>
          <w:sz w:val="20"/>
          <w:szCs w:val="20"/>
          <w:color w:val="auto"/>
        </w:rPr>
      </w:pPr>
    </w:p>
    <w:p>
      <w:pPr>
        <w:ind w:right="80" w:firstLine="1505"/>
        <w:spacing w:after="0" w:line="256" w:lineRule="auto"/>
        <w:tabs>
          <w:tab w:leader="none" w:pos="1893"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Credit Extensions made by each Lender shall be evidenced by one or more accounts or records maintained by such Lender and evidenced by one or more entries in the Register maintained by the Administrative Agent, acting as agent for the Borrower, in each case in the ordinary course of business. The accounts or records maintained by the Administrative Agent and each Lender shall be prima facie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as set forth in the Register,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payable to such Lender, which shall evidence such Lender’s Loans in addition to such accounts or records. Each Lender may attach schedules to its Note and record thereon the date, Type (if applicable), amount and maturity of its Loans and payments with respect thereto.</w:t>
      </w:r>
    </w:p>
    <w:p>
      <w:pPr>
        <w:spacing w:after="0" w:line="177" w:lineRule="exact"/>
        <w:rPr>
          <w:rFonts w:ascii="Times New Roman" w:cs="Times New Roman" w:eastAsia="Times New Roman" w:hAnsi="Times New Roman"/>
          <w:sz w:val="19"/>
          <w:szCs w:val="19"/>
          <w:color w:val="auto"/>
        </w:rPr>
      </w:pPr>
    </w:p>
    <w:p>
      <w:pPr>
        <w:ind w:right="40" w:firstLine="1505"/>
        <w:spacing w:after="0" w:line="246" w:lineRule="auto"/>
        <w:tabs>
          <w:tab w:leader="none" w:pos="189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accounts and records referred to in </w:t>
      </w:r>
      <w:r>
        <w:rPr>
          <w:rFonts w:ascii="Times New Roman" w:cs="Times New Roman" w:eastAsia="Times New Roman" w:hAnsi="Times New Roman"/>
          <w:sz w:val="20"/>
          <w:szCs w:val="20"/>
          <w:u w:val="single" w:color="auto"/>
          <w:color w:val="auto"/>
        </w:rPr>
        <w:t>Section 2.11(1)</w:t>
      </w:r>
      <w:r>
        <w:rPr>
          <w:rFonts w:ascii="Times New Roman" w:cs="Times New Roman" w:eastAsia="Times New Roman" w:hAnsi="Times New Roman"/>
          <w:sz w:val="20"/>
          <w:szCs w:val="20"/>
          <w:color w:val="auto"/>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4" w:lineRule="exact"/>
        <w:rPr>
          <w:rFonts w:ascii="Times New Roman" w:cs="Times New Roman" w:eastAsia="Times New Roman" w:hAnsi="Times New Roman"/>
          <w:sz w:val="20"/>
          <w:szCs w:val="20"/>
          <w:color w:val="auto"/>
        </w:rPr>
      </w:pPr>
    </w:p>
    <w:p>
      <w:pPr>
        <w:ind w:right="200" w:firstLine="1505"/>
        <w:spacing w:after="0" w:line="274" w:lineRule="auto"/>
        <w:tabs>
          <w:tab w:leader="none" w:pos="1893"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Entries made in good faith by the Administrative Agent in the Register pursuant to </w:t>
      </w:r>
      <w:r>
        <w:rPr>
          <w:rFonts w:ascii="Times New Roman" w:cs="Times New Roman" w:eastAsia="Times New Roman" w:hAnsi="Times New Roman"/>
          <w:sz w:val="19"/>
          <w:szCs w:val="19"/>
          <w:u w:val="single" w:color="auto"/>
          <w:color w:val="auto"/>
        </w:rPr>
        <w:t>Sections 2.11(1)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w:t>
      </w:r>
      <w:r>
        <w:rPr>
          <w:rFonts w:ascii="Times New Roman" w:cs="Times New Roman" w:eastAsia="Times New Roman" w:hAnsi="Times New Roman"/>
          <w:sz w:val="19"/>
          <w:szCs w:val="19"/>
          <w:color w:val="auto"/>
        </w:rPr>
        <w:t xml:space="preserve">, and by each Lender in its account or accounts pursuant to </w:t>
      </w:r>
      <w:r>
        <w:rPr>
          <w:rFonts w:ascii="Times New Roman" w:cs="Times New Roman" w:eastAsia="Times New Roman" w:hAnsi="Times New Roman"/>
          <w:sz w:val="19"/>
          <w:szCs w:val="19"/>
          <w:u w:val="single" w:color="auto"/>
          <w:color w:val="auto"/>
        </w:rPr>
        <w:t>Sections 2.11(1)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w:t>
      </w:r>
      <w:r>
        <w:rPr>
          <w:rFonts w:ascii="Times New Roman" w:cs="Times New Roman" w:eastAsia="Times New Roman" w:hAnsi="Times New Roman"/>
          <w:sz w:val="19"/>
          <w:szCs w:val="19"/>
          <w:color w:val="auto"/>
        </w:rPr>
        <w:t>, shall be prima facie evidence of the amount of principal and interest due and payable or to become due and payable from the Borrower to, in the case of the Register, each Lender and, in the case of</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0"/>
          <w:szCs w:val="20"/>
          <w:color w:val="auto"/>
        </w:rPr>
        <w:t>such account or accounts, such Lender, under this Agreement and the other Loan Documents, absent manifest error.</w:t>
      </w:r>
    </w:p>
    <w:p>
      <w:pPr>
        <w:spacing w:after="0" w:line="216"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19"/>
          <w:szCs w:val="19"/>
          <w:color w:val="auto"/>
        </w:rPr>
        <w:t>Payments Generally.</w:t>
      </w:r>
    </w:p>
    <w:p>
      <w:pPr>
        <w:spacing w:after="0" w:line="216" w:lineRule="exact"/>
        <w:rPr>
          <w:sz w:val="20"/>
          <w:szCs w:val="20"/>
          <w:color w:val="auto"/>
        </w:rPr>
      </w:pPr>
    </w:p>
    <w:p>
      <w:pPr>
        <w:ind w:firstLine="1505"/>
        <w:spacing w:after="0" w:line="243" w:lineRule="auto"/>
        <w:tabs>
          <w:tab w:leader="none" w:pos="1893"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to be made by the Borrower hereunder shall be made in Dollars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for payment and in Same Day Funds not later than 2:00 p.m., New York time, on the date specified herein. The Administrative Agent will promptly distribute to each Appropriate Lender its Pro Rata Share (or other applicable share as provided herein) of such payment in like funds as received by wire transfer to such Lender’s Lending Office. Any payments under this Agreement that are made later than 2:00 p.m., New York time, may in the Administrative Agent’s discretion be deemed to have been made on the next succeeding Business Day (but the Administrative Agent may extend such deadline for purposes of computing interest and fees (but not beyond the end of such day) in its sole discretion whether or not such payments are in process).</w:t>
      </w:r>
    </w:p>
    <w:p>
      <w:pPr>
        <w:spacing w:after="0" w:line="185" w:lineRule="exact"/>
        <w:rPr>
          <w:rFonts w:ascii="Times New Roman" w:cs="Times New Roman" w:eastAsia="Times New Roman" w:hAnsi="Times New Roman"/>
          <w:sz w:val="20"/>
          <w:szCs w:val="20"/>
          <w:color w:val="auto"/>
        </w:rPr>
      </w:pPr>
    </w:p>
    <w:p>
      <w:pPr>
        <w:ind w:right="160" w:firstLine="1505"/>
        <w:spacing w:after="0" w:line="254" w:lineRule="auto"/>
        <w:tabs>
          <w:tab w:leader="none" w:pos="1893"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herein,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4" w:lineRule="exact"/>
        <w:rPr>
          <w:rFonts w:ascii="Times New Roman" w:cs="Times New Roman" w:eastAsia="Times New Roman" w:hAnsi="Times New Roman"/>
          <w:sz w:val="20"/>
          <w:szCs w:val="20"/>
          <w:color w:val="auto"/>
        </w:rPr>
      </w:pPr>
    </w:p>
    <w:p>
      <w:pPr>
        <w:ind w:right="140" w:firstLine="1505"/>
        <w:spacing w:after="0" w:line="243" w:lineRule="auto"/>
        <w:tabs>
          <w:tab w:leader="none" w:pos="1893"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Borrower or any Lender has notified the Administrative Agent, prior to the date, or in the case of any Borrowing of Base Rate Loans, prior to 1:00 p.m., New York time, on the date of such Borrowing, any payment is required to be made by it to the Administrative Agent hereunder (in the case of the Borrower, for the account of any Lender or an Issuing Bank hereunder or, in the case of the Lenders, for the account of any Issuing Bank, Swing Line Lender or the Borrower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w:t>
      </w:r>
    </w:p>
    <w:p>
      <w:pPr>
        <w:spacing w:after="0" w:line="189" w:lineRule="exact"/>
        <w:rPr>
          <w:rFonts w:ascii="Times New Roman" w:cs="Times New Roman" w:eastAsia="Times New Roman" w:hAnsi="Times New Roman"/>
          <w:sz w:val="20"/>
          <w:szCs w:val="20"/>
          <w:color w:val="auto"/>
        </w:rPr>
      </w:pPr>
    </w:p>
    <w:p>
      <w:pPr>
        <w:ind w:right="100" w:firstLine="1880"/>
        <w:spacing w:after="0" w:line="246" w:lineRule="auto"/>
        <w:tabs>
          <w:tab w:leader="none" w:pos="2268"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failed to make such payment, each Lender or Issuing Bank shall forthwith on demand repay to the Administrative Agent the portion of such assumed payment that was made available to such Lender or Issuing Bank in Same Day Funds, together with interest thereon in respect of each day from and including the date such amount was made available by the Administrative Agent to such Lender or Issuing Bank to the date such amount is repaid to the Administrative Agent in Same Day Funds at the Overnight Rate from time to time in effect; and</w:t>
      </w:r>
    </w:p>
    <w:p>
      <w:pPr>
        <w:spacing w:after="0" w:line="184" w:lineRule="exact"/>
        <w:rPr>
          <w:rFonts w:ascii="Times New Roman" w:cs="Times New Roman" w:eastAsia="Times New Roman" w:hAnsi="Times New Roman"/>
          <w:sz w:val="20"/>
          <w:szCs w:val="20"/>
          <w:color w:val="auto"/>
        </w:rPr>
      </w:pPr>
    </w:p>
    <w:p>
      <w:pPr>
        <w:ind w:firstLine="1880"/>
        <w:spacing w:after="0" w:line="243" w:lineRule="auto"/>
        <w:tabs>
          <w:tab w:leader="none" w:pos="2268"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failed to make such payment, such Lender shall forthwith on demand pay to the Administrative Agent the amount thereof in Same Day Funds, together with interest thereon for the period from the date such amount was made available by the Administrative Agent to the Borrower to the date such amount is recovered by the Administrative Agent (the “</w:t>
      </w:r>
      <w:r>
        <w:rPr>
          <w:rFonts w:ascii="Times New Roman" w:cs="Times New Roman" w:eastAsia="Times New Roman" w:hAnsi="Times New Roman"/>
          <w:sz w:val="20"/>
          <w:szCs w:val="20"/>
          <w:b w:val="1"/>
          <w:bCs w:val="1"/>
          <w:color w:val="auto"/>
        </w:rPr>
        <w:t>Compensation Period</w:t>
      </w:r>
      <w:r>
        <w:rPr>
          <w:rFonts w:ascii="Times New Roman" w:cs="Times New Roman" w:eastAsia="Times New Roman" w:hAnsi="Times New Roman"/>
          <w:sz w:val="20"/>
          <w:szCs w:val="20"/>
          <w:color w:val="auto"/>
        </w:rPr>
        <w:t>”) at a rate per annum equal to the Overnight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 and the Borrower shall pay such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3" w:name="page244"/>
    <w:bookmarkEnd w:id="243"/>
    <w:p>
      <w:pPr>
        <w:spacing w:after="0" w:line="246" w:lineRule="auto"/>
        <w:rPr>
          <w:sz w:val="20"/>
          <w:szCs w:val="20"/>
          <w:color w:val="auto"/>
        </w:rPr>
      </w:pPr>
      <w:r>
        <w:rPr>
          <w:rFonts w:ascii="Times New Roman" w:cs="Times New Roman" w:eastAsia="Times New Roman" w:hAnsi="Times New Roman"/>
          <w:sz w:val="20"/>
          <w:szCs w:val="20"/>
          <w:color w:val="auto"/>
        </w:rPr>
        <w:t xml:space="preserve">amount, or cause such amount to be paid,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 A notice of the Administrative Agent to any Lender or the Borrower with respect to any amount owing under this </w:t>
      </w:r>
      <w:r>
        <w:rPr>
          <w:rFonts w:ascii="Times New Roman" w:cs="Times New Roman" w:eastAsia="Times New Roman" w:hAnsi="Times New Roman"/>
          <w:sz w:val="20"/>
          <w:szCs w:val="20"/>
          <w:u w:val="single" w:color="auto"/>
          <w:color w:val="auto"/>
        </w:rPr>
        <w:t>Section 2.12(3)</w:t>
      </w:r>
      <w:r>
        <w:rPr>
          <w:rFonts w:ascii="Times New Roman" w:cs="Times New Roman" w:eastAsia="Times New Roman" w:hAnsi="Times New Roman"/>
          <w:sz w:val="20"/>
          <w:szCs w:val="20"/>
          <w:color w:val="auto"/>
        </w:rPr>
        <w:t xml:space="preserve"> shall be conclusive, absent manifest error.</w:t>
      </w:r>
    </w:p>
    <w:p>
      <w:pPr>
        <w:spacing w:after="0" w:line="185" w:lineRule="exact"/>
        <w:rPr>
          <w:sz w:val="20"/>
          <w:szCs w:val="20"/>
          <w:color w:val="auto"/>
        </w:rPr>
      </w:pPr>
    </w:p>
    <w:p>
      <w:pPr>
        <w:ind w:right="120" w:firstLine="1880"/>
        <w:spacing w:after="0" w:line="249" w:lineRule="auto"/>
        <w:tabs>
          <w:tab w:leader="none" w:pos="2268"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makes available to the Administrative Agent funds for any Loan to be made by such Lender as provided in this Article II, and such funds are not made available to the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79" w:lineRule="exact"/>
        <w:rPr>
          <w:rFonts w:ascii="Times New Roman" w:cs="Times New Roman" w:eastAsia="Times New Roman" w:hAnsi="Times New Roman"/>
          <w:sz w:val="20"/>
          <w:szCs w:val="20"/>
          <w:color w:val="auto"/>
        </w:rPr>
      </w:pPr>
    </w:p>
    <w:p>
      <w:pPr>
        <w:jc w:val="both"/>
        <w:ind w:right="80" w:firstLine="1880"/>
        <w:spacing w:after="0" w:line="249" w:lineRule="auto"/>
        <w:tabs>
          <w:tab w:leader="none" w:pos="2268"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Lenders hereunder to make Loans and to fund participations in Letters of Credit and Swing Line Loans are several and not joint. The failure of any Lender to make any Loan or fund any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79" w:lineRule="exact"/>
        <w:rPr>
          <w:rFonts w:ascii="Times New Roman" w:cs="Times New Roman" w:eastAsia="Times New Roman" w:hAnsi="Times New Roman"/>
          <w:sz w:val="20"/>
          <w:szCs w:val="20"/>
          <w:color w:val="auto"/>
        </w:rPr>
      </w:pPr>
    </w:p>
    <w:p>
      <w:pPr>
        <w:jc w:val="both"/>
        <w:ind w:right="120" w:firstLine="1880"/>
        <w:spacing w:after="0" w:line="254" w:lineRule="auto"/>
        <w:tabs>
          <w:tab w:leader="none" w:pos="2268"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4" w:lineRule="exact"/>
        <w:rPr>
          <w:rFonts w:ascii="Times New Roman" w:cs="Times New Roman" w:eastAsia="Times New Roman" w:hAnsi="Times New Roman"/>
          <w:sz w:val="20"/>
          <w:szCs w:val="20"/>
          <w:color w:val="auto"/>
        </w:rPr>
      </w:pPr>
    </w:p>
    <w:p>
      <w:pPr>
        <w:ind w:right="140" w:firstLine="1880"/>
        <w:spacing w:after="0" w:line="257" w:lineRule="auto"/>
        <w:tabs>
          <w:tab w:leader="none" w:pos="2268"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19"/>
          <w:szCs w:val="19"/>
          <w:u w:val="single" w:color="auto"/>
          <w:color w:val="auto"/>
        </w:rPr>
        <w:t>Section 8.03</w:t>
      </w:r>
      <w:r>
        <w:rPr>
          <w:rFonts w:ascii="Times New Roman" w:cs="Times New Roman" w:eastAsia="Times New Roman" w:hAnsi="Times New Roman"/>
          <w:sz w:val="19"/>
          <w:szCs w:val="19"/>
          <w:color w:val="auto"/>
        </w:rPr>
        <w:t xml:space="preserve"> (or otherwise expressly set forth herein).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the sum of (i) the Outstanding Amount of all Loans outstanding at such time and (ii) the Outstanding Amount of all L/C Obligations outstanding at such time, in repayment or prepayment of such of the outstanding Loans or other Obligations then owing to such Lender.</w:t>
      </w:r>
    </w:p>
    <w:p>
      <w:pPr>
        <w:spacing w:after="0" w:line="176" w:lineRule="exact"/>
        <w:rPr>
          <w:sz w:val="20"/>
          <w:szCs w:val="20"/>
          <w:color w:val="auto"/>
        </w:rPr>
      </w:pPr>
    </w:p>
    <w:p>
      <w:pPr>
        <w:ind w:right="160"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SECTION 2.13 Sharing of Payments. Other than as expressly provided elsewhere herein, if any Lender of any Class shall obtain payment in respect of any principal of or interest on account of the Loans of such Class made by it or the participations in L/C Obligations and Swing Line Loans held by it (whether voluntary, involuntary, through the exercise of any right of setoff, or otherwise) in excess of its ratable share (or other share contemplated hereunder) thereof, such Lender shall immediately (1) notify the Administrative Agent of such fact and (2) purchase from the other Lenders such participations in the Loans of such Class made by them or such sub-participations in the participations in L/C Obligations or Swing Line Loans held by them, as the case may be, as shall be necessary to cause such purchasing Lender to share the excess payment in respect of any principal of or interest on such Loans of such Class or such participations, as the case may be, pro rata with each of them;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all or any portion of such excess payment is thereafter recovered from the purchasing Lender under any of the circumstances described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(including pursuant to any settlement entered into by the purchasing Lender in its discretion), such purchase shall to that extent be rescinded and each other Lender shall repay to the purchasing Lender the purchase price paid therefor,</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44" w:name="page245"/>
    <w:bookmarkEnd w:id="244"/>
    <w:p>
      <w:pPr>
        <w:spacing w:after="0" w:line="241" w:lineRule="auto"/>
        <w:rPr>
          <w:sz w:val="20"/>
          <w:szCs w:val="20"/>
          <w:color w:val="auto"/>
        </w:rPr>
      </w:pPr>
      <w:r>
        <w:rPr>
          <w:rFonts w:ascii="Times New Roman" w:cs="Times New Roman" w:eastAsia="Times New Roman" w:hAnsi="Times New Roman"/>
          <w:sz w:val="20"/>
          <w:szCs w:val="20"/>
          <w:color w:val="auto"/>
        </w:rPr>
        <w:t xml:space="preserve">together with an amount equal to such paying Lender’s ratable share (according to the proportion of (a) the amount of such paying Lender’s required repayment to (b) the total amount so recovered from the purchasing Lender) of any interest or other amount paid or payable by the purchasing Lender in respect of the total amount so recovered, without further interest thereon. For the avoidance of doubt, 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not be construed to apply to (i) any payment made by the Borrower pursuant to and in accordance with the express terms of this Agreement as in effect from time to time (including the application of funds arising from the existence of a Defaulting Lender) or (ii) any payment obtained by a Lender as consideration for the assignment of or sale of a participation in any of its Loans to any assignee or participant permitted hereunder. The Borrower agrees that any Lender so purchasing a participation from another Lender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may, to the fullest extent permitted by applicable Law, exercise all its rights of payment (including the right of setoff, but subject to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of the definition of Excluded Taxes, any participation acquired by a Lender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be treated as having been acquired on the earlier date(s) on which the applicable interest(s) in the Commitment(s) or Loan(s) to which such participation relates were acquired by such Lender.</w:t>
      </w:r>
    </w:p>
    <w:p>
      <w:pPr>
        <w:spacing w:after="0" w:line="192"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color w:val="auto"/>
        </w:rPr>
        <w:t>Incremental Facilities.</w:t>
      </w:r>
    </w:p>
    <w:p>
      <w:pPr>
        <w:spacing w:after="0" w:line="216" w:lineRule="exact"/>
        <w:rPr>
          <w:sz w:val="20"/>
          <w:szCs w:val="20"/>
          <w:color w:val="auto"/>
        </w:rPr>
      </w:pPr>
    </w:p>
    <w:p>
      <w:pPr>
        <w:ind w:right="40" w:firstLine="1505"/>
        <w:spacing w:after="0" w:line="242" w:lineRule="auto"/>
        <w:tabs>
          <w:tab w:leader="none" w:pos="1893"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Loan Request</w:t>
      </w:r>
      <w:r>
        <w:rPr>
          <w:rFonts w:ascii="Times New Roman" w:cs="Times New Roman" w:eastAsia="Times New Roman" w:hAnsi="Times New Roman"/>
          <w:sz w:val="20"/>
          <w:szCs w:val="20"/>
          <w:color w:val="auto"/>
        </w:rPr>
        <w:t>. The Borrower may at any time and from time to time after the Closing Date, by written notice to the Administrative Agent (an “</w:t>
      </w:r>
      <w:r>
        <w:rPr>
          <w:rFonts w:ascii="Times New Roman" w:cs="Times New Roman" w:eastAsia="Times New Roman" w:hAnsi="Times New Roman"/>
          <w:sz w:val="20"/>
          <w:szCs w:val="20"/>
          <w:b w:val="1"/>
          <w:bCs w:val="1"/>
          <w:color w:val="auto"/>
        </w:rPr>
        <w:t>Incremental Loan Request</w:t>
      </w:r>
      <w:r>
        <w:rPr>
          <w:rFonts w:ascii="Times New Roman" w:cs="Times New Roman" w:eastAsia="Times New Roman" w:hAnsi="Times New Roman"/>
          <w:sz w:val="20"/>
          <w:szCs w:val="20"/>
          <w:color w:val="auto"/>
        </w:rPr>
        <w:t>”), request (a) one or more new commitments which may be of the same Class as any outstanding Term Loans (which may be incurred in the form of delayed draw term loan commitments) (a “</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Increase</w:t>
      </w:r>
      <w:r>
        <w:rPr>
          <w:rFonts w:ascii="Times New Roman" w:cs="Times New Roman" w:eastAsia="Times New Roman" w:hAnsi="Times New Roman"/>
          <w:sz w:val="20"/>
          <w:szCs w:val="20"/>
          <w:color w:val="auto"/>
        </w:rPr>
        <w:t>”) or a new Class of term loans (which may be incurred in the form of delayed draw term loan commitments) (collectively with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Loan Increase, the “</w:t>
      </w:r>
      <w:r>
        <w:rPr>
          <w:rFonts w:ascii="Times New Roman" w:cs="Times New Roman" w:eastAsia="Times New Roman" w:hAnsi="Times New Roman"/>
          <w:sz w:val="20"/>
          <w:szCs w:val="20"/>
          <w:b w:val="1"/>
          <w:bCs w:val="1"/>
          <w:color w:val="auto"/>
        </w:rPr>
        <w:t>Incremental Term Commitments</w:t>
      </w:r>
      <w:r>
        <w:rPr>
          <w:rFonts w:ascii="Times New Roman" w:cs="Times New Roman" w:eastAsia="Times New Roman" w:hAnsi="Times New Roman"/>
          <w:sz w:val="20"/>
          <w:szCs w:val="20"/>
          <w:color w:val="auto"/>
        </w:rPr>
        <w:t>”) and/or (b) one or more increases in the amount of the Revolving Commitments (a “</w:t>
      </w:r>
      <w:r>
        <w:rPr>
          <w:rFonts w:ascii="Times New Roman" w:cs="Times New Roman" w:eastAsia="Times New Roman" w:hAnsi="Times New Roman"/>
          <w:sz w:val="20"/>
          <w:szCs w:val="20"/>
          <w:b w:val="1"/>
          <w:bCs w:val="1"/>
          <w:color w:val="auto"/>
        </w:rPr>
        <w:t>Revolving Commitment Increase</w:t>
      </w:r>
      <w:r>
        <w:rPr>
          <w:rFonts w:ascii="Times New Roman" w:cs="Times New Roman" w:eastAsia="Times New Roman" w:hAnsi="Times New Roman"/>
          <w:sz w:val="20"/>
          <w:szCs w:val="20"/>
          <w:color w:val="auto"/>
        </w:rPr>
        <w:t>”) or the establishment of one or more new revolving credit commitments (each an “</w:t>
      </w:r>
      <w:r>
        <w:rPr>
          <w:rFonts w:ascii="Times New Roman" w:cs="Times New Roman" w:eastAsia="Times New Roman" w:hAnsi="Times New Roman"/>
          <w:sz w:val="20"/>
          <w:szCs w:val="20"/>
          <w:b w:val="1"/>
          <w:bCs w:val="1"/>
          <w:color w:val="auto"/>
        </w:rPr>
        <w:t>Incremental Revolving Facility</w:t>
      </w:r>
      <w:r>
        <w:rPr>
          <w:rFonts w:ascii="Times New Roman" w:cs="Times New Roman" w:eastAsia="Times New Roman" w:hAnsi="Times New Roman"/>
          <w:sz w:val="20"/>
          <w:szCs w:val="20"/>
          <w:color w:val="auto"/>
        </w:rPr>
        <w:t>”; and, collectively with any Revolving Commitment Increases, the “</w:t>
      </w:r>
      <w:r>
        <w:rPr>
          <w:rFonts w:ascii="Times New Roman" w:cs="Times New Roman" w:eastAsia="Times New Roman" w:hAnsi="Times New Roman"/>
          <w:sz w:val="20"/>
          <w:szCs w:val="20"/>
          <w:b w:val="1"/>
          <w:bCs w:val="1"/>
          <w:color w:val="auto"/>
        </w:rPr>
        <w:t>Incremental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Commitments</w:t>
      </w:r>
      <w:r>
        <w:rPr>
          <w:rFonts w:ascii="Times New Roman" w:cs="Times New Roman" w:eastAsia="Times New Roman" w:hAnsi="Times New Roman"/>
          <w:sz w:val="20"/>
          <w:szCs w:val="20"/>
          <w:color w:val="auto"/>
        </w:rPr>
        <w:t>” and any Incremental Revolving Commitments, collectively with any Incremental Term Commitments, the “</w:t>
      </w:r>
      <w:r>
        <w:rPr>
          <w:rFonts w:ascii="Times New Roman" w:cs="Times New Roman" w:eastAsia="Times New Roman" w:hAnsi="Times New Roman"/>
          <w:sz w:val="20"/>
          <w:szCs w:val="20"/>
          <w:b w:val="1"/>
          <w:bCs w:val="1"/>
          <w:color w:val="auto"/>
        </w:rPr>
        <w:t>Incremental Commitments</w:t>
      </w:r>
      <w:r>
        <w:rPr>
          <w:rFonts w:ascii="Times New Roman" w:cs="Times New Roman" w:eastAsia="Times New Roman" w:hAnsi="Times New Roman"/>
          <w:sz w:val="20"/>
          <w:szCs w:val="20"/>
          <w:color w:val="auto"/>
        </w:rPr>
        <w:t>”), whereupon the Administrative Agent shall promptly deliver a copy to each of the Lenders. Each Incremental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Request from the Borrower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set forth the requested amount and proposed terms of the relevant Incremental Term Commitments or Incremental Revolving Commitments.</w:t>
      </w:r>
    </w:p>
    <w:p>
      <w:pPr>
        <w:spacing w:after="0" w:line="189" w:lineRule="exact"/>
        <w:rPr>
          <w:rFonts w:ascii="Times New Roman" w:cs="Times New Roman" w:eastAsia="Times New Roman" w:hAnsi="Times New Roman"/>
          <w:sz w:val="20"/>
          <w:szCs w:val="20"/>
          <w:color w:val="auto"/>
        </w:rPr>
      </w:pPr>
    </w:p>
    <w:p>
      <w:pPr>
        <w:ind w:right="60" w:firstLine="1505"/>
        <w:spacing w:after="0" w:line="243" w:lineRule="auto"/>
        <w:tabs>
          <w:tab w:leader="none" w:pos="1893"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xml:space="preserve">. Any Incremental Term Loans or Incremental Revolving Commitments effected through the establishment of one or more new term loans or new revolving credit commitments, as applicable, made on an Incremental Facility Closing Date (other than a Loan Increase) shall be designated a separate Class of Incremental Term Loans or Incremental Revolving Commitments, as applicable, for all purposes of this Agreement. On any Incremental Facility Closing Date on which any Incremental Term Commitments of any Class are effected (including through any Term Loan Increase), subject to the satisfaction of the terms and conditions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(a) each Incremental Term Lender of such Class shall make a Loan to the Borrower (an “</w:t>
      </w:r>
      <w:r>
        <w:rPr>
          <w:rFonts w:ascii="Times New Roman" w:cs="Times New Roman" w:eastAsia="Times New Roman" w:hAnsi="Times New Roman"/>
          <w:sz w:val="20"/>
          <w:szCs w:val="20"/>
          <w:b w:val="1"/>
          <w:bCs w:val="1"/>
          <w:color w:val="auto"/>
        </w:rPr>
        <w:t>Incremental Term Loan</w:t>
      </w:r>
      <w:r>
        <w:rPr>
          <w:rFonts w:ascii="Times New Roman" w:cs="Times New Roman" w:eastAsia="Times New Roman" w:hAnsi="Times New Roman"/>
          <w:sz w:val="20"/>
          <w:szCs w:val="20"/>
          <w:color w:val="auto"/>
        </w:rPr>
        <w:t>”) in an amount equal to its Incremental Term Commitment of such Class, (b) each Incremental Term Lender of such Class shall become a Lender hereunder with respect to the Incremental Term Commitment of such Class and the Incremental Term Loans of such Class made pursuant thereto. On any Incremental Facility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45" w:name="page246"/>
    <w:bookmarkEnd w:id="245"/>
    <w:p>
      <w:pPr>
        <w:ind w:right="220"/>
        <w:spacing w:after="0" w:line="244" w:lineRule="auto"/>
        <w:rPr>
          <w:sz w:val="20"/>
          <w:szCs w:val="20"/>
          <w:color w:val="auto"/>
        </w:rPr>
      </w:pPr>
      <w:r>
        <w:rPr>
          <w:rFonts w:ascii="Times New Roman" w:cs="Times New Roman" w:eastAsia="Times New Roman" w:hAnsi="Times New Roman"/>
          <w:sz w:val="20"/>
          <w:szCs w:val="20"/>
          <w:color w:val="auto"/>
        </w:rPr>
        <w:t xml:space="preserve">Closing Date on which any Incremental Revolving Commitments of any Class are effected through the establishment of one or more new revolving credit commitments (including through any Revolving Commitment Increase), subject to the satisfaction of the terms and conditions in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 each Incremental Revolving Lender of such Class shall make its Commitment available to the Borrower (when borrowed, an “</w:t>
      </w:r>
      <w:r>
        <w:rPr>
          <w:rFonts w:ascii="Times New Roman" w:cs="Times New Roman" w:eastAsia="Times New Roman" w:hAnsi="Times New Roman"/>
          <w:sz w:val="20"/>
          <w:szCs w:val="20"/>
          <w:b w:val="1"/>
          <w:bCs w:val="1"/>
          <w:color w:val="auto"/>
        </w:rPr>
        <w:t>Incremental Revolving Loan</w:t>
      </w:r>
      <w:r>
        <w:rPr>
          <w:rFonts w:ascii="Times New Roman" w:cs="Times New Roman" w:eastAsia="Times New Roman" w:hAnsi="Times New Roman"/>
          <w:sz w:val="20"/>
          <w:szCs w:val="20"/>
          <w:color w:val="auto"/>
        </w:rPr>
        <w:t>” and collectively with any Incremental Term Loan, an “</w:t>
      </w:r>
      <w:r>
        <w:rPr>
          <w:rFonts w:ascii="Times New Roman" w:cs="Times New Roman" w:eastAsia="Times New Roman" w:hAnsi="Times New Roman"/>
          <w:sz w:val="20"/>
          <w:szCs w:val="20"/>
          <w:b w:val="1"/>
          <w:bCs w:val="1"/>
          <w:color w:val="auto"/>
        </w:rPr>
        <w:t>Incremental Loan</w:t>
      </w:r>
      <w:r>
        <w:rPr>
          <w:rFonts w:ascii="Times New Roman" w:cs="Times New Roman" w:eastAsia="Times New Roman" w:hAnsi="Times New Roman"/>
          <w:sz w:val="20"/>
          <w:szCs w:val="20"/>
          <w:color w:val="auto"/>
        </w:rPr>
        <w:t>”) in an amount equal to its Incremental Revolving Commitment of such Class and (b) each Incremental Revolving Lender of such Class shall become a Lender hereunder with respect to the Incremental Revolving Commitment of such Class and the Incremental Revolving Loans of such Class made pursuant thereto.</w:t>
      </w:r>
    </w:p>
    <w:p>
      <w:pPr>
        <w:spacing w:after="0" w:line="186" w:lineRule="exact"/>
        <w:rPr>
          <w:sz w:val="20"/>
          <w:szCs w:val="20"/>
          <w:color w:val="auto"/>
        </w:rPr>
      </w:pPr>
    </w:p>
    <w:p>
      <w:pPr>
        <w:ind w:firstLine="1505"/>
        <w:spacing w:after="0" w:line="253" w:lineRule="auto"/>
        <w:tabs>
          <w:tab w:leader="none" w:pos="1893"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Incremental Lenders</w:t>
      </w:r>
      <w:r>
        <w:rPr>
          <w:rFonts w:ascii="Times New Roman" w:cs="Times New Roman" w:eastAsia="Times New Roman" w:hAnsi="Times New Roman"/>
          <w:sz w:val="19"/>
          <w:szCs w:val="19"/>
          <w:color w:val="auto"/>
        </w:rPr>
        <w:t>. Incremental Term Loans may be made, and Incremental Revolving Commitments may be provided, by any existing Lender (but no existing Lender will have an obligation to make any Incremental Commitment (or Incremental Loan), nor will the Borrower have any obligation to approach any existing Lenders to provide any Incremental Commitment (or Incremental Loan)) or by any Additional Lender (each such existing Lender or Additional Lender providing such Loan or Commitment, an “</w:t>
      </w:r>
      <w:r>
        <w:rPr>
          <w:rFonts w:ascii="Times New Roman" w:cs="Times New Roman" w:eastAsia="Times New Roman" w:hAnsi="Times New Roman"/>
          <w:sz w:val="19"/>
          <w:szCs w:val="19"/>
          <w:b w:val="1"/>
          <w:bCs w:val="1"/>
          <w:color w:val="auto"/>
        </w:rPr>
        <w:t>Incremental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Term Lender</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Incremental Revolving Lender</w:t>
      </w:r>
      <w:r>
        <w:rPr>
          <w:rFonts w:ascii="Times New Roman" w:cs="Times New Roman" w:eastAsia="Times New Roman" w:hAnsi="Times New Roman"/>
          <w:sz w:val="19"/>
          <w:szCs w:val="19"/>
          <w:color w:val="auto"/>
        </w:rPr>
        <w:t>,” as applicable, and, collectively, the “</w:t>
      </w:r>
      <w:r>
        <w:rPr>
          <w:rFonts w:ascii="Times New Roman" w:cs="Times New Roman" w:eastAsia="Times New Roman" w:hAnsi="Times New Roman"/>
          <w:sz w:val="19"/>
          <w:szCs w:val="19"/>
          <w:b w:val="1"/>
          <w:bCs w:val="1"/>
          <w:color w:val="auto"/>
        </w:rPr>
        <w:t>Incremental Lenders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shall seek Incremental Commitments from then-existing Lenders (other than Defaulting Lenders) prior to obtaining Incremental Commitments from any other Person (it being understood that Borrower may seek such Incremental Commitments from existing Lenders prior to seeking such Incremental Commitments from other Persons), and such then-existing Lenders shall notify the Borrower and the Administrative Agent in writing of their participation in, and offered commitment with respect to, such Incremental Commitments within five Business Days of the delivery by the Borrower to the Administrative Agent of such notice (it being understood that (A) if any existing Lender fails to so notify the Borrower and the Administrative Agent of its participation in (or not provide) any Incremental Commitments within five Business Days of such notice, it shall be deemed to have declined providing or otherwise participating in such Incremental Commitment, (B) the Borrower shall not be required to accept any Incremental Commitments from existing Lenders pursuant to this clause</w:t>
      </w:r>
    </w:p>
    <w:p>
      <w:pPr>
        <w:spacing w:after="0" w:line="11" w:lineRule="exact"/>
        <w:rPr>
          <w:rFonts w:ascii="Times New Roman" w:cs="Times New Roman" w:eastAsia="Times New Roman" w:hAnsi="Times New Roman"/>
          <w:sz w:val="19"/>
          <w:szCs w:val="19"/>
          <w:color w:val="auto"/>
        </w:rPr>
      </w:pPr>
    </w:p>
    <w:p>
      <w:pPr>
        <w:ind w:right="40" w:firstLine="8"/>
        <w:spacing w:after="0"/>
        <w:tabs>
          <w:tab w:leader="none" w:pos="23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any terms and conditions less favorable to the Borrower or its Restricted Subsidiaries than the terms and conditions of any Incremental Commitments to be provided by any other Person and (C) the Borrower shall not be required to accept any Incremental Commitments from existing Lenders pursuant to this proviso to the extent existing Lenders in the aggregate do not provide Incremental Commitments in the amount requested by the Borrower pursuant to such notice), (ii) the Administrative Agent or, in the case of any Incremental Revolving Commitments only, each Swing Line Lender and each Issuing Bank, shall have consented (in each case, not to be unreasonably withheld, conditioned or delayed) to such Additional Lender’s making such Incremental Term Loans or providing such Incremental Revolving Commitments to the extent such consent, if any, would be required under </w:t>
      </w:r>
      <w:r>
        <w:rPr>
          <w:rFonts w:ascii="Times New Roman" w:cs="Times New Roman" w:eastAsia="Times New Roman" w:hAnsi="Times New Roman"/>
          <w:sz w:val="20"/>
          <w:szCs w:val="20"/>
          <w:u w:val="single" w:color="auto"/>
          <w:color w:val="auto"/>
        </w:rPr>
        <w:t>Section 10.07(2)</w:t>
      </w:r>
      <w:r>
        <w:rPr>
          <w:rFonts w:ascii="Times New Roman" w:cs="Times New Roman" w:eastAsia="Times New Roman" w:hAnsi="Times New Roman"/>
          <w:sz w:val="20"/>
          <w:szCs w:val="20"/>
          <w:color w:val="auto"/>
        </w:rPr>
        <w:t xml:space="preserve"> for an assignment of Loans or Revolving Commitments, as applicable, to such Additional Lender, (iii) with respect to Incremental Term Commitments, any Affiliated Lender providing an Incremental Term Commitment shall be subject to the same restrictions set forth in </w:t>
      </w:r>
      <w:r>
        <w:rPr>
          <w:rFonts w:ascii="Times New Roman" w:cs="Times New Roman" w:eastAsia="Times New Roman" w:hAnsi="Times New Roman"/>
          <w:sz w:val="20"/>
          <w:szCs w:val="20"/>
          <w:u w:val="single" w:color="auto"/>
          <w:color w:val="auto"/>
        </w:rPr>
        <w:t>Section 10.07(8)</w:t>
      </w:r>
      <w:r>
        <w:rPr>
          <w:rFonts w:ascii="Times New Roman" w:cs="Times New Roman" w:eastAsia="Times New Roman" w:hAnsi="Times New Roman"/>
          <w:sz w:val="20"/>
          <w:szCs w:val="20"/>
          <w:color w:val="auto"/>
        </w:rPr>
        <w:t xml:space="preserve"> as they would otherwise be subject to with respect to any purchase by or assignment to such Affiliated Lender of Term Loans and (iv) Affiliated Lenders may not provide Incremental Revolving Commitments.</w:t>
      </w:r>
    </w:p>
    <w:p>
      <w:pPr>
        <w:spacing w:after="0" w:line="188" w:lineRule="exact"/>
        <w:rPr>
          <w:rFonts w:ascii="Times New Roman" w:cs="Times New Roman" w:eastAsia="Times New Roman" w:hAnsi="Times New Roman"/>
          <w:sz w:val="20"/>
          <w:szCs w:val="20"/>
          <w:color w:val="auto"/>
        </w:rPr>
      </w:pPr>
    </w:p>
    <w:p>
      <w:pPr>
        <w:jc w:val="both"/>
        <w:ind w:right="140" w:firstLine="1505"/>
        <w:spacing w:after="0" w:line="254" w:lineRule="auto"/>
        <w:tabs>
          <w:tab w:leader="none" w:pos="1893"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Incremental Amendment</w:t>
      </w:r>
      <w:r>
        <w:rPr>
          <w:rFonts w:ascii="Times New Roman" w:cs="Times New Roman" w:eastAsia="Times New Roman" w:hAnsi="Times New Roman"/>
          <w:sz w:val="20"/>
          <w:szCs w:val="20"/>
          <w:color w:val="auto"/>
        </w:rPr>
        <w:t>. The effectiveness of any Incremental Amendment and the availability of any initial credit extensions thereunder shall be subject to the satisfaction on the date thereof (the “</w:t>
      </w:r>
      <w:r>
        <w:rPr>
          <w:rFonts w:ascii="Times New Roman" w:cs="Times New Roman" w:eastAsia="Times New Roman" w:hAnsi="Times New Roman"/>
          <w:sz w:val="20"/>
          <w:szCs w:val="20"/>
          <w:b w:val="1"/>
          <w:bCs w:val="1"/>
          <w:color w:val="auto"/>
        </w:rPr>
        <w:t>Incremental Facility Closing Date</w:t>
      </w:r>
      <w:r>
        <w:rPr>
          <w:rFonts w:ascii="Times New Roman" w:cs="Times New Roman" w:eastAsia="Times New Roman" w:hAnsi="Times New Roman"/>
          <w:sz w:val="20"/>
          <w:szCs w:val="20"/>
          <w:color w:val="auto"/>
        </w:rPr>
        <w:t>”) of each of the following conditions:</w:t>
      </w:r>
    </w:p>
    <w:p>
      <w:pPr>
        <w:spacing w:after="0" w:line="170" w:lineRule="exact"/>
        <w:rPr>
          <w:rFonts w:ascii="Times New Roman" w:cs="Times New Roman" w:eastAsia="Times New Roman" w:hAnsi="Times New Roman"/>
          <w:sz w:val="20"/>
          <w:szCs w:val="20"/>
          <w:color w:val="auto"/>
        </w:rPr>
      </w:pPr>
    </w:p>
    <w:p>
      <w:pPr>
        <w:ind w:right="100" w:firstLine="1880"/>
        <w:spacing w:after="0" w:line="276" w:lineRule="auto"/>
        <w:tabs>
          <w:tab w:leader="none" w:pos="2268" w:val="left"/>
        </w:tabs>
        <w:numPr>
          <w:ilvl w:val="2"/>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no Event of Default shall exist after giving effect to such Incremental Commitments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with respect to any Incremental Amendment in connection with a Limited Condition Transaction, the requirement pursuant to this </w:t>
      </w:r>
      <w:r>
        <w:rPr>
          <w:rFonts w:ascii="Times New Roman" w:cs="Times New Roman" w:eastAsia="Times New Roman" w:hAnsi="Times New Roman"/>
          <w:sz w:val="19"/>
          <w:szCs w:val="19"/>
          <w:u w:val="single" w:color="auto"/>
          <w:color w:val="auto"/>
        </w:rPr>
        <w:t>clause (4)(a)(i)</w:t>
      </w:r>
      <w:r>
        <w:rPr>
          <w:rFonts w:ascii="Times New Roman" w:cs="Times New Roman" w:eastAsia="Times New Roman" w:hAnsi="Times New Roman"/>
          <w:sz w:val="19"/>
          <w:szCs w:val="19"/>
          <w:color w:val="auto"/>
        </w:rPr>
        <w:t xml:space="preserve"> shall be subject to </w:t>
      </w:r>
      <w:r>
        <w:rPr>
          <w:rFonts w:ascii="Times New Roman" w:cs="Times New Roman" w:eastAsia="Times New Roman" w:hAnsi="Times New Roman"/>
          <w:sz w:val="19"/>
          <w:szCs w:val="19"/>
          <w:u w:val="single" w:color="auto"/>
          <w:color w:val="auto"/>
        </w:rPr>
        <w:t>Section 1.07(11)</w:t>
      </w:r>
      <w:r>
        <w:rPr>
          <w:rFonts w:ascii="Times New Roman" w:cs="Times New Roman" w:eastAsia="Times New Roman" w:hAnsi="Times New Roman"/>
          <w:sz w:val="19"/>
          <w:szCs w:val="19"/>
          <w:color w:val="auto"/>
        </w:rPr>
        <w:t xml:space="preserve">), and (ii) the representations and warranties of the Borrower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or any other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6" w:name="page247"/>
    <w:bookmarkEnd w:id="246"/>
    <w:p>
      <w:pPr>
        <w:ind w:right="40"/>
        <w:spacing w:after="0" w:line="244" w:lineRule="auto"/>
        <w:rPr>
          <w:sz w:val="20"/>
          <w:szCs w:val="20"/>
          <w:color w:val="auto"/>
        </w:rPr>
      </w:pPr>
      <w:r>
        <w:rPr>
          <w:rFonts w:ascii="Times New Roman" w:cs="Times New Roman" w:eastAsia="Times New Roman" w:hAnsi="Times New Roman"/>
          <w:sz w:val="20"/>
          <w:szCs w:val="20"/>
          <w:color w:val="auto"/>
        </w:rPr>
        <w:t>Loan Document shall be true and correct in all material respects on and as of the date of such Incremental Amendment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and any representation and warranty that is qualified as to “materiality,” “Material Adverse Effect” or similar language shall be true and correct (after giving effect to any qualification therein) in all respects on such respective dates);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connection with a Limited Condition Transaction, the conditions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and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(x) only be required to the extent requested by the non-Affiliated Lenders providing more than 50% of the applicable Incremental Term Loans and Incremental Term Commitments or Incremental Revolving Loans and Incremental Revolving Commitments, as the case may be and (y) shall be tested (if applicable) solely on the applicable LCT Test Date as selected by the Borrower pursuant to </w:t>
      </w:r>
      <w:r>
        <w:rPr>
          <w:rFonts w:ascii="Times New Roman" w:cs="Times New Roman" w:eastAsia="Times New Roman" w:hAnsi="Times New Roman"/>
          <w:sz w:val="20"/>
          <w:szCs w:val="20"/>
          <w:u w:val="single" w:color="auto"/>
          <w:color w:val="auto"/>
        </w:rPr>
        <w:t>Section 1.07(11)</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firstLine="1880"/>
        <w:spacing w:after="0" w:line="245" w:lineRule="auto"/>
        <w:tabs>
          <w:tab w:leader="none" w:pos="2268" w:val="left"/>
        </w:tabs>
        <w:numPr>
          <w:ilvl w:val="2"/>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Incremental Term Commitment shall be in an aggregate principal amount that is not less than $5,000,000 (or such lesser amount to which the Administrative Agent may reasonably agree)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amount may be less than $5,000,000 (or such lesser amount) if such amount represents all remaining availability under the limit set forth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2.14(4)</w:t>
      </w:r>
      <w:r>
        <w:rPr>
          <w:rFonts w:ascii="Times New Roman" w:cs="Times New Roman" w:eastAsia="Times New Roman" w:hAnsi="Times New Roman"/>
          <w:sz w:val="20"/>
          <w:szCs w:val="20"/>
          <w:color w:val="auto"/>
        </w:rPr>
        <w:t>) and each Incremental Revolving Commitment shall be in an aggregate principal amount that is not less than $5,000,000 (or such lesser amount to which the Administrative Agent may reasonably agree)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amount may be less than $5,000,000 (or such lesser amount) if such amount represents all remaining availability under the limit set forth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2.14(4)</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right="140" w:firstLine="1880"/>
        <w:spacing w:after="0" w:line="254" w:lineRule="auto"/>
        <w:tabs>
          <w:tab w:leader="none" w:pos="2268" w:val="left"/>
        </w:tabs>
        <w:numPr>
          <w:ilvl w:val="2"/>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Incremental Term Loans and Incremental Revolving Commitments shall not, together with the aggregate principal amount of Permitted Incremental Equivalent Debt, exceed the sum of (the amount available under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below, the “</w:t>
      </w:r>
      <w:r>
        <w:rPr>
          <w:rFonts w:ascii="Times New Roman" w:cs="Times New Roman" w:eastAsia="Times New Roman" w:hAnsi="Times New Roman"/>
          <w:sz w:val="20"/>
          <w:szCs w:val="20"/>
          <w:b w:val="1"/>
          <w:bCs w:val="1"/>
          <w:color w:val="auto"/>
        </w:rPr>
        <w:t>Available Incremental Amount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1505"/>
        <w:spacing w:after="0" w:line="255" w:lineRule="auto"/>
        <w:tabs>
          <w:tab w:leader="none" w:pos="1893" w:val="left"/>
        </w:tabs>
        <w:numPr>
          <w:ilvl w:val="1"/>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the greater of (A) $107,300,000 and (B) 100% of Consolidated EBITDA of the Borrower for the most recently ended Test Period (calculated on a pro forma basis) (the “</w:t>
      </w:r>
      <w:r>
        <w:rPr>
          <w:rFonts w:ascii="Times New Roman" w:cs="Times New Roman" w:eastAsia="Times New Roman" w:hAnsi="Times New Roman"/>
          <w:sz w:val="19"/>
          <w:szCs w:val="19"/>
          <w:b w:val="1"/>
          <w:bCs w:val="1"/>
          <w:color w:val="auto"/>
        </w:rPr>
        <w:t>Free and Clear Incremental Amount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any General Debt Basket Reallocated Amount,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(III) the aggregate principal amount, without duplication, of (including, as applicable (x) prepayments, terminations, redemptions and purchases of such Indebtedness at or below par and (y) prepayments, redemptions and purchases of any Commitment or Loan that is terminated or cancelled in accordance with </w:t>
      </w:r>
      <w:r>
        <w:rPr>
          <w:rFonts w:ascii="Times New Roman" w:cs="Times New Roman" w:eastAsia="Times New Roman" w:hAnsi="Times New Roman"/>
          <w:sz w:val="19"/>
          <w:szCs w:val="19"/>
          <w:u w:val="single" w:color="auto"/>
          <w:color w:val="auto"/>
        </w:rPr>
        <w:t>Section 3.07</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in the case of clauses (A) and (C) below, voluntary prepayments, redemptions and purchases of such Indebtedness below par shall be limited to the amount of cash actually paid by Holdings, the Borrower or any Subsidiary in respect of such Indebtedness) (A) voluntary prepayments, redemptions or repurchases of</w:t>
      </w:r>
    </w:p>
    <w:p>
      <w:pPr>
        <w:spacing w:after="0" w:line="3" w:lineRule="exact"/>
        <w:rPr>
          <w:rFonts w:ascii="Times New Roman" w:cs="Times New Roman" w:eastAsia="Times New Roman" w:hAnsi="Times New Roman"/>
          <w:sz w:val="19"/>
          <w:szCs w:val="19"/>
          <w:color w:val="auto"/>
        </w:rPr>
      </w:pPr>
    </w:p>
    <w:p>
      <w:pPr>
        <w:ind w:right="80" w:firstLine="8"/>
        <w:spacing w:after="0" w:line="252" w:lineRule="auto"/>
        <w:tabs>
          <w:tab w:leader="none" w:pos="236"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Closing Date Term Loans and (ii) Incremental Term Loans or Permitted Incremental Equivalent Debt (other than any Permitted Incremental Equivalent Debt that is a revolving credit facility), in each case under this clause (ii), to the extent either (X) incurred in reliance on the Non-Ratio Based Incremental Amount or (Y) secured on a pari passu basis with the Closing Date Term Loans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relevant prepayment, redemption or repurchase is not funded with long-term Indebtedness (other than (x) revolving Indebtedness and intercompany loans and (y) any Incremental Facility or Permitted Incremental Equivalent Debt then being incurred in reliance on this clause (III))), (B) voluntary prepayments (accompanied by corresponding permanent commitment reductions in respect of (i) the Closing Date Revolving Facility and (ii) Incremental Revolving Commitments or Permitted Incremental Equivalent Debt consisting of revolving credit commitments, in each case under this clause (ii), to the extent either (X) incurred in reliance on the Non-Ratio Based Incremental Amount or</w:t>
      </w:r>
    </w:p>
    <w:p>
      <w:pPr>
        <w:ind w:right="6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secured on a pari passu basis with the Closing Date Revolving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relevant commitment reduction is not funded with long-term Indebtedness (other than (x) revolving Indebtedness and intercompany loans and (y) any Incremental Facility or Permitted Incremental Equivalent Debt then being incurred in reliance on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and (C) voluntary prepayments, redemptions or repurchases of any Credit Agreement Refinancing Indebtedness, Other</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7" w:name="page248"/>
    <w:bookmarkEnd w:id="247"/>
    <w:p>
      <w:pPr>
        <w:ind w:right="140"/>
        <w:spacing w:after="0" w:line="246" w:lineRule="auto"/>
        <w:rPr>
          <w:sz w:val="20"/>
          <w:szCs w:val="20"/>
          <w:color w:val="auto"/>
        </w:rPr>
      </w:pPr>
      <w:r>
        <w:rPr>
          <w:rFonts w:ascii="Times New Roman" w:cs="Times New Roman" w:eastAsia="Times New Roman" w:hAnsi="Times New Roman"/>
          <w:sz w:val="20"/>
          <w:szCs w:val="20"/>
          <w:color w:val="auto"/>
        </w:rPr>
        <w:t>Loans, Refinancing Indebtedness or other Indebtedness previously applied, directly or indirectly, to the (a) prepayment, redemption or repurchase of any Indebtedness described in sub-clauses (A) or (B) above or (b) voluntary permanent commitment reductions in respect of revolving credit commitments described in subclause (B)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relevant commitment reduction is not funded with long-term Indebtedness (other than (x) revolving Indebtedness and intercompany loans and (y) any Incremental Facility or Permitted Incremental Equivalent Debt then being incurred in reliance on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p>
    <w:p>
      <w:pPr>
        <w:spacing w:after="0" w:line="185" w:lineRule="exact"/>
        <w:rPr>
          <w:sz w:val="20"/>
          <w:szCs w:val="20"/>
          <w:color w:val="auto"/>
        </w:rPr>
      </w:pPr>
    </w:p>
    <w:p>
      <w:pPr>
        <w:ind w:left="760" w:firstLine="745"/>
        <w:spacing w:after="0" w:line="246" w:lineRule="auto"/>
        <w:tabs>
          <w:tab w:leader="none" w:pos="190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 the case of any Incremental Loans or Incremental Commitments that effectively extend the Maturity Date of, or refinance, any Facility secured on a pari passu basis with the Obligations, an amount equal to the portion of the Facility to be replaced with (or refinanced by) such Incremental Loans or Incremental Commitments and (II) in the case of any Incremental Loans or Incremental Commitments that effectively replace any Commitment or Loan that is terminated or cancelled in accordance with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an amount equal to the portion of the relevant terminated or cancelled Commitment or Loan, </w:t>
      </w:r>
      <w:r>
        <w:rPr>
          <w:rFonts w:ascii="Times New Roman" w:cs="Times New Roman" w:eastAsia="Times New Roman" w:hAnsi="Times New Roman"/>
          <w:sz w:val="20"/>
          <w:szCs w:val="20"/>
          <w:i w:val="1"/>
          <w:iCs w:val="1"/>
          <w:color w:val="auto"/>
        </w:rPr>
        <w:t>plus</w:t>
      </w:r>
    </w:p>
    <w:p>
      <w:pPr>
        <w:spacing w:after="0" w:line="18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unlimited amount, so long as in the case of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only (the “</w:t>
      </w:r>
      <w:r>
        <w:rPr>
          <w:rFonts w:ascii="Times New Roman" w:cs="Times New Roman" w:eastAsia="Times New Roman" w:hAnsi="Times New Roman"/>
          <w:sz w:val="20"/>
          <w:szCs w:val="20"/>
          <w:b w:val="1"/>
          <w:bCs w:val="1"/>
          <w:color w:val="auto"/>
        </w:rPr>
        <w:t>Incremental Ratio Basket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2260" w:right="20" w:firstLine="743"/>
        <w:spacing w:after="0" w:line="242" w:lineRule="auto"/>
        <w:tabs>
          <w:tab w:leader="none" w:pos="3404"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Incremental Loans or Incremental Commitments that are secured by Liens on all or a portion of the Collateral on a basis that is equal in priority to the Liens on the Collateral securing the First Lien Obligations under this Agreement (but without regard to the control of remedies), with respect to Incremental Loans or Incremental Commitments the First Lien Net Leverage Ratio for the Test Period most recently ended calculated on a pro forma basis after giving effect to any such incurrence does not exceed 2.50 to 1.00 (including in connection with an acquisition or other Investment permitted under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in the case of an incurrence of Incremental Revolving Commitments, assuming such Incremental Revolving Commitments under this clause (I) are fully drawn and (ii) in the case of all Incremental Loans, calculating the First Lien Net Leverage Ratio without netting the cash proceeds from such Incremental Loans then proposed to be incurred) (other than with respect to any such cash proceeds of revolving indebtedness intended to be used for working capital),</w:t>
      </w:r>
    </w:p>
    <w:p>
      <w:pPr>
        <w:spacing w:after="0" w:line="190" w:lineRule="exact"/>
        <w:rPr>
          <w:sz w:val="20"/>
          <w:szCs w:val="20"/>
          <w:color w:val="auto"/>
        </w:rPr>
      </w:pPr>
    </w:p>
    <w:p>
      <w:pPr>
        <w:ind w:left="2260" w:right="20" w:firstLine="743"/>
        <w:spacing w:after="0" w:line="242" w:lineRule="auto"/>
        <w:tabs>
          <w:tab w:leader="none" w:pos="340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Incremental Loans or Incremental Commitments that are secured by Liens on all or a portion of the Collateral on a basis that is junior in priority to the Liens on the Collateral securing the First Lien Obligations under this Agreement and for the avoidance of doubt is not incurred pursuant to clause (III) below, the Secured Net Leverage Ratio for the Test Period most recently ended calculated on a pro forma basis after giving effect to any such incurrence does not exceed 3.00 to 1.00 (including in connection with an acquisition or other Investment permitted under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in the case of an incurrence of Incremental Revolving Commitments, assuming such Incremental Revolving Commitments under this clause (I) are fully drawn and (ii) in the case of all Incremental Loans, calculating the Secured Net Leverage Ratio without netting the cash proceeds from such Incremental Loans then proposed to be incurred) (other than with respect to any such cash proceeds of revolving indebtedness intended to be used for working capital), or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8" w:name="page249"/>
    <w:bookmarkEnd w:id="248"/>
    <w:p>
      <w:pPr>
        <w:ind w:left="2260" w:firstLine="743"/>
        <w:spacing w:after="0" w:line="258" w:lineRule="auto"/>
        <w:tabs>
          <w:tab w:leader="none" w:pos="3404"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Incremental Loans or Incremental Commitments that are unsecured or that is secured by assets that do not constitute Collateral, the Total Net Leverage Ratio for the Test Period most recently ended calculated on a pro forma basis after giving effect to any such incurrence does not exceed 3.50 to 1.00 (including in connection with an acquisition or other Investment permitted under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in the case of an incurrence of Incremental Revolving Commitments, assuming such Incremental Revolving Commitments are fully drawn and (ii) in the case of all Incremental Loans, calculating the Total Net Leverage Ratio without netting the cash proceeds from such Incremental Loans then proposed to be incurred (other than with respect to any such cash proceeds of revolving indebtedness intended to be used for working capital));</w:t>
      </w:r>
    </w:p>
    <w:p>
      <w:pPr>
        <w:spacing w:after="0" w:line="169" w:lineRule="exact"/>
        <w:rPr>
          <w:sz w:val="20"/>
          <w:szCs w:val="20"/>
          <w:color w:val="auto"/>
        </w:rPr>
      </w:pPr>
    </w:p>
    <w:p>
      <w:pPr>
        <w:ind w:left="760" w:right="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the case of any Incremental Commitment (or Permitted Incremental Equivalent Debt) in the form of a delayed draw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term loan facility, notwithstanding anything to the contrary herein, in calculating the First Lien Net Leverage Ratio, Secured Net Leverage Ratio or Total Net Leverage Ratio, as applicable, for purposes of this </w:t>
      </w:r>
      <w:r>
        <w:rPr>
          <w:rFonts w:ascii="Times New Roman" w:cs="Times New Roman" w:eastAsia="Times New Roman" w:hAnsi="Times New Roman"/>
          <w:sz w:val="20"/>
          <w:szCs w:val="20"/>
          <w:u w:val="single" w:color="auto"/>
          <w:color w:val="auto"/>
        </w:rPr>
        <w:t>Section 2.14(4)(c)(iii)</w:t>
      </w:r>
      <w:r>
        <w:rPr>
          <w:rFonts w:ascii="Times New Roman" w:cs="Times New Roman" w:eastAsia="Times New Roman" w:hAnsi="Times New Roman"/>
          <w:sz w:val="20"/>
          <w:szCs w:val="20"/>
          <w:color w:val="auto"/>
        </w:rPr>
        <w:t xml:space="preserve">, at the election of the Borrower, either (A) such Incremental Commitment (or Permitted Incremental Equivalent Debt) shall be deemed to be fully drawn at the time such Incremental Commitment (or Permitted Incremental Equivalent Debt) becomes effective and thereafter the borrowings under such Incremental Commitment (or Permitted Incremental Equivalent Debt) shall not constitute an additional incurrence of Indebtedness for purposes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or (B) such Incremental Commitment and the Incremental Term Loans (or Permitted Incremental Equivalent Debt) in respect thereof shall be deemed incurred as and when funded in accordance with the terms of such delayed draw term loan facility.</w:t>
      </w:r>
    </w:p>
    <w:p>
      <w:pPr>
        <w:spacing w:after="0" w:line="190" w:lineRule="exact"/>
        <w:rPr>
          <w:sz w:val="20"/>
          <w:szCs w:val="20"/>
          <w:color w:val="auto"/>
        </w:rPr>
      </w:pPr>
    </w:p>
    <w:p>
      <w:pPr>
        <w:ind w:left="760" w:right="100"/>
        <w:spacing w:after="0" w:line="243" w:lineRule="auto"/>
        <w:rPr>
          <w:sz w:val="20"/>
          <w:szCs w:val="20"/>
          <w:color w:val="auto"/>
        </w:rPr>
      </w:pPr>
      <w:r>
        <w:rPr>
          <w:rFonts w:ascii="Times New Roman" w:cs="Times New Roman" w:eastAsia="Times New Roman" w:hAnsi="Times New Roman"/>
          <w:sz w:val="20"/>
          <w:szCs w:val="20"/>
          <w:color w:val="auto"/>
        </w:rPr>
        <w:t xml:space="preserve">In addition, the Borrower may elect to use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definition of Available Incremental Amount regardless of whether the Borrower has capacity under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the definition of Available Incremental Amount. Further, the Borrower may elect to use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definition of Available Incremental Amount prior to using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the definition of Available Incremental Amount, and if both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the definition of Available Incremental Amount are available, unless otherwise elected by the Borrower, then the Borrower will be deemed to have elected to use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definition of Available Incremental Amount. In addition, any Indebtedness originally designated as incurred pursuant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the definition of Available Incremental Amount shall be automatically reclassified as incurred under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definition of Available Incremental Amount at such time as the Borrower would meet the applicable leverage-based incurrence test at such time on a pro forma basis, unless otherwise elected by the Borrower.</w:t>
      </w:r>
    </w:p>
    <w:p>
      <w:pPr>
        <w:spacing w:after="0" w:line="186" w:lineRule="exact"/>
        <w:rPr>
          <w:sz w:val="20"/>
          <w:szCs w:val="20"/>
          <w:color w:val="auto"/>
        </w:rPr>
      </w:pPr>
    </w:p>
    <w:p>
      <w:pPr>
        <w:ind w:right="60" w:firstLine="1505"/>
        <w:spacing w:after="0" w:line="244" w:lineRule="auto"/>
        <w:tabs>
          <w:tab w:leader="none" w:pos="1893"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Terms</w:t>
      </w:r>
      <w:r>
        <w:rPr>
          <w:rFonts w:ascii="Times New Roman" w:cs="Times New Roman" w:eastAsia="Times New Roman" w:hAnsi="Times New Roman"/>
          <w:sz w:val="20"/>
          <w:szCs w:val="20"/>
          <w:color w:val="auto"/>
        </w:rPr>
        <w:t>. The terms, provisions and documentation of the Incremental Term Loans and Incremental Term Commitments or the Incremental Revolving Loans and Incremental Revolving Commitments, as the case may be, of any Class and any Loan Increase shall be as agreed between the Borrower and the applicable Incremental Lenders providing such Incremental Commitments and except as otherwise set forth herein, to the extent not consistent with the Closing Date Term Loans or Closing Date Revolving Facility, as applicable, existing on the Incremental Facility Closing Date, shall either, at the option of the Borrower, (A) be reasonably satisfactory to the Required Lenders, (B) be not materially more restrictive to the Borrower (as determined by the Borrower in good faith), when taken as a whole, than the terms of the Closing Date Term Loans or Closing Date Revolving Facility, as applicable, except, in each case under this clause (B), with respect to (x) covenants (including any Previously Absent Financial Maintenance Covenant) and other terms applicable to any period after the Latest Maturity Date of the Closing Date Term Loans or Closing Date Revolving Facility, as applicable,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0"/>
          <w:szCs w:val="20"/>
          <w:color w:val="auto"/>
        </w:rPr>
        <w:t>in effect immediately prior to the incurrence of the Incremental Term Loans and Incremental Term Commitments or the Incremental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Revolving Loans and Incremental Revolving Commitments, as the case may be or (y) a Previously Absent Financial Maintenance Covenant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 long as, (i) to the extent that any such terms of any Incremental Revolving Loans and Incremental Revolving Commitments contain a</w:t>
      </w:r>
    </w:p>
    <w:p>
      <w:pPr>
        <w:spacing w:after="0"/>
        <w:rPr>
          <w:sz w:val="20"/>
          <w:szCs w:val="20"/>
          <w:color w:val="auto"/>
        </w:rPr>
      </w:pPr>
      <w:r>
        <w:rPr>
          <w:rFonts w:ascii="Times New Roman" w:cs="Times New Roman" w:eastAsia="Times New Roman" w:hAnsi="Times New Roman"/>
          <w:sz w:val="20"/>
          <w:szCs w:val="20"/>
          <w:color w:val="auto"/>
        </w:rPr>
        <w:t>Previously Absent Financial Maintenance Covenant that is in effect prior to the applicable Latest Maturity Date of the Closing Date</w:t>
      </w:r>
    </w:p>
    <w:p>
      <w:pPr>
        <w:spacing w:after="0"/>
        <w:rPr>
          <w:sz w:val="20"/>
          <w:szCs w:val="20"/>
          <w:color w:val="auto"/>
        </w:rPr>
      </w:pPr>
      <w:r>
        <w:rPr>
          <w:rFonts w:ascii="Times New Roman" w:cs="Times New Roman" w:eastAsia="Times New Roman" w:hAnsi="Times New Roman"/>
          <w:sz w:val="19"/>
          <w:szCs w:val="19"/>
          <w:color w:val="auto"/>
        </w:rPr>
        <w:t>Revolving Facility, such Previously Absent Financial Maintenance Covenant shall be included for the benefit of the Closing Date Revolving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and (ii) to the extent that any such terms of any Incremental Term Loans contain a Previously Absent Financial Maintenance</w:t>
      </w:r>
    </w:p>
    <w:p>
      <w:pPr>
        <w:spacing w:after="0"/>
        <w:rPr>
          <w:sz w:val="20"/>
          <w:szCs w:val="20"/>
          <w:color w:val="auto"/>
        </w:rPr>
      </w:pPr>
      <w:r>
        <w:rPr>
          <w:rFonts w:ascii="Times New Roman" w:cs="Times New Roman" w:eastAsia="Times New Roman" w:hAnsi="Times New Roman"/>
          <w:sz w:val="20"/>
          <w:szCs w:val="20"/>
          <w:color w:val="auto"/>
        </w:rPr>
        <w:t>Covenant that is in effect prior to the applicable Latest Maturity Date of the Closing Date Term Loan Facility, such Previously Absent</w:t>
      </w:r>
    </w:p>
    <w:p>
      <w:pPr>
        <w:spacing w:after="0"/>
        <w:rPr>
          <w:sz w:val="20"/>
          <w:szCs w:val="20"/>
          <w:color w:val="auto"/>
        </w:rPr>
      </w:pPr>
      <w:r>
        <w:rPr>
          <w:rFonts w:ascii="Times New Roman" w:cs="Times New Roman" w:eastAsia="Times New Roman" w:hAnsi="Times New Roman"/>
          <w:sz w:val="19"/>
          <w:szCs w:val="19"/>
          <w:color w:val="auto"/>
        </w:rPr>
        <w:t>Financial Maintenance Covenant shall be included for the benefit of the Closing Date Term Loans) or (C) contain such terms, provisions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documentation as are reasonably satisfactory to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Borrower’s election, to the extent any term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provision is added for the benefit of (i) the Lenders of Incremental Term Loans, no consent shall be required from the Administrative Agent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any Lender to the extent that such term or provision is also added, or the features of such term or provision are provided, for the benefit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Lenders of the Closing Date Term Loans or (ii) the Lenders under Incremental Revolving Commitments, no consent shall be required</w:t>
      </w:r>
    </w:p>
    <w:p>
      <w:pPr>
        <w:spacing w:after="0"/>
        <w:rPr>
          <w:sz w:val="20"/>
          <w:szCs w:val="20"/>
          <w:color w:val="auto"/>
        </w:rPr>
      </w:pPr>
      <w:r>
        <w:rPr>
          <w:rFonts w:ascii="Times New Roman" w:cs="Times New Roman" w:eastAsia="Times New Roman" w:hAnsi="Times New Roman"/>
          <w:sz w:val="19"/>
          <w:szCs w:val="19"/>
          <w:color w:val="auto"/>
        </w:rPr>
        <w:t>from the Administrative Agent to the extent that such term or provision is also added, or the features of such term or provision are provided,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the benefit of the Lenders of the Closing Date Revolving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a Term Loan Increase or a Revolving</w:t>
      </w:r>
    </w:p>
    <w:p>
      <w:pPr>
        <w:spacing w:after="0"/>
        <w:rPr>
          <w:sz w:val="20"/>
          <w:szCs w:val="20"/>
          <w:color w:val="auto"/>
        </w:rPr>
      </w:pPr>
      <w:r>
        <w:rPr>
          <w:rFonts w:ascii="Times New Roman" w:cs="Times New Roman" w:eastAsia="Times New Roman" w:hAnsi="Times New Roman"/>
          <w:sz w:val="20"/>
          <w:szCs w:val="20"/>
          <w:color w:val="auto"/>
        </w:rPr>
        <w:t>Commitment Increase, the terms, provisions and documentation of such Term Loan Increase or a Revolving Commitment Increase shall be</w:t>
      </w:r>
    </w:p>
    <w:p>
      <w:pPr>
        <w:spacing w:after="0"/>
        <w:rPr>
          <w:sz w:val="20"/>
          <w:szCs w:val="20"/>
          <w:color w:val="auto"/>
        </w:rPr>
      </w:pPr>
      <w:r>
        <w:rPr>
          <w:rFonts w:ascii="Times New Roman" w:cs="Times New Roman" w:eastAsia="Times New Roman" w:hAnsi="Times New Roman"/>
          <w:sz w:val="19"/>
          <w:szCs w:val="19"/>
          <w:color w:val="auto"/>
        </w:rPr>
        <w:t>identical (other than with respect to upfront fees, OID or similar fees, it being understood that, if required to consummate such Loan Increase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the interest rate margins and rate floors may be increased, any call protection provision may be made more favorable to the</w:t>
      </w:r>
    </w:p>
    <w:p>
      <w:pPr>
        <w:spacing w:after="0"/>
        <w:rPr>
          <w:sz w:val="20"/>
          <w:szCs w:val="20"/>
          <w:color w:val="auto"/>
        </w:rPr>
      </w:pPr>
      <w:r>
        <w:rPr>
          <w:rFonts w:ascii="Times New Roman" w:cs="Times New Roman" w:eastAsia="Times New Roman" w:hAnsi="Times New Roman"/>
          <w:sz w:val="20"/>
          <w:szCs w:val="20"/>
          <w:color w:val="auto"/>
        </w:rPr>
        <w:t>applicable existing Lenders and additional upfront or similar fees may be payable to the lenders providing the Loan Increase) to the</w:t>
      </w:r>
    </w:p>
    <w:p>
      <w:pPr>
        <w:spacing w:after="0"/>
        <w:rPr>
          <w:sz w:val="20"/>
          <w:szCs w:val="20"/>
          <w:color w:val="auto"/>
        </w:rPr>
      </w:pPr>
      <w:r>
        <w:rPr>
          <w:rFonts w:ascii="Times New Roman" w:cs="Times New Roman" w:eastAsia="Times New Roman" w:hAnsi="Times New Roman"/>
          <w:sz w:val="20"/>
          <w:szCs w:val="20"/>
          <w:color w:val="auto"/>
        </w:rPr>
        <w:t>applicable Term Loans or Revolving Commitments being increased, in each case, as existing on the Incremental Facility Closing Date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Incremental Term Loans are intended to be “fungible” with the Closing Date Term Loans, notwithstanding any other</w:t>
      </w:r>
    </w:p>
    <w:p>
      <w:pPr>
        <w:spacing w:after="0"/>
        <w:rPr>
          <w:sz w:val="20"/>
          <w:szCs w:val="20"/>
          <w:color w:val="auto"/>
        </w:rPr>
      </w:pPr>
      <w:r>
        <w:rPr>
          <w:rFonts w:ascii="Times New Roman" w:cs="Times New Roman" w:eastAsia="Times New Roman" w:hAnsi="Times New Roman"/>
          <w:sz w:val="20"/>
          <w:szCs w:val="20"/>
          <w:color w:val="auto"/>
        </w:rPr>
        <w:t xml:space="preserve">conditions specified in this </w:t>
      </w:r>
      <w:r>
        <w:rPr>
          <w:rFonts w:ascii="Times New Roman" w:cs="Times New Roman" w:eastAsia="Times New Roman" w:hAnsi="Times New Roman"/>
          <w:sz w:val="20"/>
          <w:szCs w:val="20"/>
          <w:u w:val="single" w:color="auto"/>
          <w:color w:val="auto"/>
        </w:rPr>
        <w:t>Section 2.14(5)</w:t>
      </w:r>
      <w:r>
        <w:rPr>
          <w:rFonts w:ascii="Times New Roman" w:cs="Times New Roman" w:eastAsia="Times New Roman" w:hAnsi="Times New Roman"/>
          <w:sz w:val="20"/>
          <w:szCs w:val="20"/>
          <w:color w:val="auto"/>
        </w:rPr>
        <w:t>, the amortization schedule for such “fungible” Incremental Term Loan may provide for</w:t>
      </w:r>
    </w:p>
    <w:p>
      <w:pPr>
        <w:spacing w:after="0"/>
        <w:rPr>
          <w:sz w:val="20"/>
          <w:szCs w:val="20"/>
          <w:color w:val="auto"/>
        </w:rPr>
      </w:pPr>
      <w:r>
        <w:rPr>
          <w:rFonts w:ascii="Times New Roman" w:cs="Times New Roman" w:eastAsia="Times New Roman" w:hAnsi="Times New Roman"/>
          <w:sz w:val="20"/>
          <w:szCs w:val="20"/>
          <w:color w:val="auto"/>
        </w:rPr>
        <w:t>amortization in such other percentage(s) to be agreed by Borrower and the Administrative Agent to provide that such Incremental Term</w:t>
      </w:r>
    </w:p>
    <w:p>
      <w:pPr>
        <w:spacing w:after="0"/>
        <w:rPr>
          <w:sz w:val="20"/>
          <w:szCs w:val="20"/>
          <w:color w:val="auto"/>
        </w:rPr>
      </w:pPr>
      <w:r>
        <w:rPr>
          <w:rFonts w:ascii="Times New Roman" w:cs="Times New Roman" w:eastAsia="Times New Roman" w:hAnsi="Times New Roman"/>
          <w:sz w:val="20"/>
          <w:szCs w:val="20"/>
          <w:color w:val="auto"/>
        </w:rPr>
        <w:t>Loans will be (or will be deemed to be) “fungible” with the Closing Date Term Loans). In any event:</w:t>
      </w:r>
    </w:p>
    <w:p>
      <w:pPr>
        <w:spacing w:after="0" w:line="194" w:lineRule="exact"/>
        <w:rPr>
          <w:sz w:val="20"/>
          <w:szCs w:val="20"/>
          <w:color w:val="auto"/>
        </w:rPr>
      </w:pPr>
    </w:p>
    <w:p>
      <w:pPr>
        <w:ind w:left="2280" w:hanging="400"/>
        <w:spacing w:after="0"/>
        <w:tabs>
          <w:tab w:leader="none" w:pos="2280" w:val="left"/>
        </w:tabs>
        <w:numPr>
          <w:ilvl w:val="2"/>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Term Loans: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shall rank equal or junior in priority in right of payment with the First Lien Obligations under this Agreement and</w:t>
      </w:r>
    </w:p>
    <w:p>
      <w:pPr>
        <w:spacing w:after="0" w:line="33" w:lineRule="exact"/>
        <w:rPr>
          <w:rFonts w:ascii="Times New Roman" w:cs="Times New Roman" w:eastAsia="Times New Roman" w:hAnsi="Times New Roman"/>
          <w:sz w:val="19"/>
          <w:szCs w:val="19"/>
          <w:color w:val="auto"/>
        </w:rPr>
      </w:pPr>
    </w:p>
    <w:p>
      <w:pPr>
        <w:ind w:right="360" w:firstLine="8"/>
        <w:spacing w:after="0" w:line="261" w:lineRule="auto"/>
        <w:tabs>
          <w:tab w:leader="none" w:pos="313"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either (A) rank equal (but without regard to the control of remedies) or junior in priority of right of security with the First Lien Obligations under this Agreement and shall be subject to the applicable Intercreditor Agreement or other intercreditor arrangements reasonably satisfactory to the Administrative Agent or (B) be unsecured, in each case as applicable pursuant to </w:t>
      </w:r>
      <w:r>
        <w:rPr>
          <w:rFonts w:ascii="Times New Roman" w:cs="Times New Roman" w:eastAsia="Times New Roman" w:hAnsi="Times New Roman"/>
          <w:sz w:val="19"/>
          <w:szCs w:val="19"/>
          <w:u w:val="single" w:color="auto"/>
          <w:color w:val="auto"/>
        </w:rPr>
        <w:t>Section 2.14(4)(c)</w:t>
      </w:r>
      <w:r>
        <w:rPr>
          <w:rFonts w:ascii="Times New Roman" w:cs="Times New Roman" w:eastAsia="Times New Roman" w:hAnsi="Times New Roman"/>
          <w:sz w:val="19"/>
          <w:szCs w:val="19"/>
          <w:color w:val="auto"/>
        </w:rPr>
        <w:t xml:space="preserve"> above,</w:t>
      </w:r>
    </w:p>
    <w:p>
      <w:pPr>
        <w:spacing w:after="0" w:line="169"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mature earlier than the Original Term Loan Maturity Date,</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have a Weighted Average Life to Maturity not shorter than the remaining Weighted Average Life to Maturity of the Closing Date Term Loans on the date of incurrence of such Incremental Term Loans,</w:t>
      </w:r>
    </w:p>
    <w:p>
      <w:pPr>
        <w:spacing w:after="0" w:line="159" w:lineRule="exact"/>
        <w:rPr>
          <w:rFonts w:ascii="Times New Roman" w:cs="Times New Roman" w:eastAsia="Times New Roman" w:hAnsi="Times New Roman"/>
          <w:sz w:val="20"/>
          <w:szCs w:val="20"/>
          <w:color w:val="auto"/>
        </w:rPr>
      </w:pPr>
    </w:p>
    <w:p>
      <w:pPr>
        <w:ind w:right="20" w:firstLine="1505"/>
        <w:spacing w:after="0" w:line="254" w:lineRule="auto"/>
        <w:tabs>
          <w:tab w:leader="none" w:pos="1893"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have amortization (subject to </w:t>
      </w:r>
      <w:r>
        <w:rPr>
          <w:rFonts w:ascii="Times New Roman" w:cs="Times New Roman" w:eastAsia="Times New Roman" w:hAnsi="Times New Roman"/>
          <w:sz w:val="20"/>
          <w:szCs w:val="20"/>
          <w:u w:val="single" w:color="auto"/>
          <w:color w:val="auto"/>
        </w:rPr>
        <w:t>clause (5)(a)(iii)</w:t>
      </w:r>
      <w:r>
        <w:rPr>
          <w:rFonts w:ascii="Times New Roman" w:cs="Times New Roman" w:eastAsia="Times New Roman" w:hAnsi="Times New Roman"/>
          <w:sz w:val="20"/>
          <w:szCs w:val="20"/>
          <w:color w:val="auto"/>
        </w:rPr>
        <w:t xml:space="preserve"> above) and an Applicable Rate determined by the Borrower and the applicable Incremental Term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Incremental Term Loans are intended to be “fungible” with the Closing Date Term Loans notwithstanding any other conditions specified in this </w:t>
      </w:r>
      <w:r>
        <w:rPr>
          <w:rFonts w:ascii="Times New Roman" w:cs="Times New Roman" w:eastAsia="Times New Roman" w:hAnsi="Times New Roman"/>
          <w:sz w:val="20"/>
          <w:szCs w:val="20"/>
          <w:u w:val="single" w:color="auto"/>
          <w:color w:val="auto"/>
        </w:rPr>
        <w:t>Section 2.14(5)(a)</w:t>
      </w:r>
      <w:r>
        <w:rPr>
          <w:rFonts w:ascii="Times New Roman" w:cs="Times New Roman" w:eastAsia="Times New Roman" w:hAnsi="Times New Roman"/>
          <w:sz w:val="20"/>
          <w:szCs w:val="20"/>
          <w:color w:val="auto"/>
        </w:rPr>
        <w:t>, the amortization schedule for such “fungible”</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50" w:name="page251"/>
    <w:bookmarkEnd w:id="250"/>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Incremental Term Loan may provide for amortization in such other percentage(s) to be agreed by the Borrower and the Administrative Agent to provide that the Incremental Term Loans will be (or will be deemed to be) “fungible” with the Closing Date Term Loans;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Incremental Term Loans that are junior in priority of right of security to the Obligations or unsecured shall not have amortization prior to the Latest Maturity Date of the Closing Date Term Loans,</w:t>
      </w:r>
    </w:p>
    <w:p>
      <w:pPr>
        <w:spacing w:after="0" w:line="180" w:lineRule="exact"/>
        <w:rPr>
          <w:sz w:val="20"/>
          <w:szCs w:val="20"/>
          <w:color w:val="auto"/>
        </w:rPr>
      </w:pPr>
    </w:p>
    <w:p>
      <w:pPr>
        <w:ind w:firstLine="1505"/>
        <w:spacing w:after="0" w:line="244" w:lineRule="auto"/>
        <w:tabs>
          <w:tab w:leader="none" w:pos="1893"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to the extent secured by Liens on the Collateral on a pari passu basis with the First Lien Obligations (but without regard to the control of remedies), may participate on a pro rata basis or less than a pro rata basis (but not greater than a pro rata basis) in any mandatory prepayments of Term Loans hereunder, except that, unless otherwise restricted under this Agreement, such Incremental Term Loans may participate on greater than a pro rata basis as compared to any later maturing Class of Term Loans constituting First Lien Obligations in any mandatory prepayments under </w:t>
      </w:r>
      <w:r>
        <w:rPr>
          <w:rFonts w:ascii="Times New Roman" w:cs="Times New Roman" w:eastAsia="Times New Roman" w:hAnsi="Times New Roman"/>
          <w:sz w:val="20"/>
          <w:szCs w:val="20"/>
          <w:u w:val="single" w:color="auto"/>
          <w:color w:val="auto"/>
        </w:rPr>
        <w:t>Section 2.05(2)(b)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(c)(i)</w:t>
      </w:r>
      <w:r>
        <w:rPr>
          <w:rFonts w:ascii="Times New Roman" w:cs="Times New Roman" w:eastAsia="Times New Roman" w:hAnsi="Times New Roman"/>
          <w:sz w:val="20"/>
          <w:szCs w:val="20"/>
          <w:color w:val="auto"/>
        </w:rPr>
        <w:t xml:space="preserve"> as specified in the applicable Incremental Amendment and (B) may participate on a pro rata basis, less than a pro rata basis or greater than a pro rata basis in any voluntary prepayments of Term Loans hereunder, as specified in the applicable Incremental Amendment,</w:t>
      </w:r>
    </w:p>
    <w:p>
      <w:pPr>
        <w:spacing w:after="0" w:line="18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denominated in Dollars, subject to the consent of the Administrative Agent (not to be unreasonably withheld, delayed or conditioned), another currency as determined by the Borrower and the applicable Incremental Term Lenders,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at any time be guaranteed by any Subsidiary of the Borrower other than Subsidiaries that are Guarantors,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20"/>
          <w:szCs w:val="20"/>
          <w:color w:val="auto"/>
        </w:rPr>
      </w:pPr>
    </w:p>
    <w:p>
      <w:pPr>
        <w:ind w:right="20" w:firstLine="1505"/>
        <w:spacing w:after="0" w:line="269" w:lineRule="auto"/>
        <w:tabs>
          <w:tab w:leader="none" w:pos="2289"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Incremental Term Loans that are secured, the obligations in respect thereof shall not be secured by any property or assets of the Borrower or any Restricted Subsidiary other than the Collateral;</w:t>
      </w:r>
    </w:p>
    <w:p>
      <w:pPr>
        <w:spacing w:after="0" w:line="15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Incremental Term Loans may be incurred in the form of a bridge or other interim credit facility intended to be refinanced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replaced with long term Indebtedness (so long as such credit facility includes customary “rollover provisions” that satisfy the requirements of clauses (ii) and (iii) above following such rollover), in which case, on or prior to the first anniversary of the incurrence of such “bridge” or other credit facility, clauses (ii) and (iii) above shall not prohibit the inclusion of customary terms for “bridge” facilities, including customary mandatory prepayment, repurchase or redemption provisions;</w:t>
      </w:r>
    </w:p>
    <w:p>
      <w:pPr>
        <w:spacing w:after="0" w:line="184" w:lineRule="exact"/>
        <w:rPr>
          <w:sz w:val="20"/>
          <w:szCs w:val="20"/>
          <w:color w:val="auto"/>
        </w:rPr>
      </w:pPr>
    </w:p>
    <w:p>
      <w:pPr>
        <w:ind w:left="2280" w:hanging="400"/>
        <w:spacing w:after="0"/>
        <w:tabs>
          <w:tab w:leader="none" w:pos="2280" w:val="left"/>
        </w:tabs>
        <w:numPr>
          <w:ilvl w:val="2"/>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Revolving Commitments and Incremental Revolving Loans: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shall rank equal or junior in priority in right of payment with the First Lien Obligations under this Agreement and</w:t>
      </w:r>
    </w:p>
    <w:p>
      <w:pPr>
        <w:spacing w:after="0" w:line="33" w:lineRule="exact"/>
        <w:rPr>
          <w:rFonts w:ascii="Times New Roman" w:cs="Times New Roman" w:eastAsia="Times New Roman" w:hAnsi="Times New Roman"/>
          <w:sz w:val="19"/>
          <w:szCs w:val="19"/>
          <w:color w:val="auto"/>
        </w:rPr>
      </w:pPr>
    </w:p>
    <w:p>
      <w:pPr>
        <w:ind w:right="380" w:firstLine="8"/>
        <w:spacing w:after="0" w:line="261" w:lineRule="auto"/>
        <w:tabs>
          <w:tab w:leader="none" w:pos="313"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either (A) rank equal (but without regard to the control of remedies) or junior in priority of right of security with the First Lien Obligations under this Agreement and shall be subject to the applicable Intercreditor Agreement or other intercreditor arrangements reasonably satisfactory to the Administrative Agent or (B) be unsecured, in each case as applicable pursuant to </w:t>
      </w:r>
      <w:r>
        <w:rPr>
          <w:rFonts w:ascii="Times New Roman" w:cs="Times New Roman" w:eastAsia="Times New Roman" w:hAnsi="Times New Roman"/>
          <w:sz w:val="19"/>
          <w:szCs w:val="19"/>
          <w:u w:val="single" w:color="auto"/>
          <w:color w:val="auto"/>
        </w:rPr>
        <w:t>Section 2.14(4)(c)</w:t>
      </w:r>
      <w:r>
        <w:rPr>
          <w:rFonts w:ascii="Times New Roman" w:cs="Times New Roman" w:eastAsia="Times New Roman" w:hAnsi="Times New Roman"/>
          <w:sz w:val="19"/>
          <w:szCs w:val="19"/>
          <w:color w:val="auto"/>
        </w:rPr>
        <w:t xml:space="preserve"> above,</w:t>
      </w:r>
    </w:p>
    <w:p>
      <w:pPr>
        <w:spacing w:after="0" w:line="169"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mature earlier than the Original Revolving Facility Maturity Date, and shall not be subject to amortization,</w:t>
      </w:r>
    </w:p>
    <w:p>
      <w:pPr>
        <w:spacing w:after="0" w:line="215" w:lineRule="exact"/>
        <w:rPr>
          <w:rFonts w:ascii="Times New Roman" w:cs="Times New Roman" w:eastAsia="Times New Roman" w:hAnsi="Times New Roman"/>
          <w:sz w:val="20"/>
          <w:szCs w:val="20"/>
          <w:color w:val="auto"/>
        </w:rPr>
      </w:pPr>
    </w:p>
    <w:p>
      <w:pPr>
        <w:ind w:right="140" w:firstLine="1505"/>
        <w:spacing w:after="0" w:line="254" w:lineRule="auto"/>
        <w:tabs>
          <w:tab w:leader="none" w:pos="1893"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below, shall provide that the borrowing and repayment (other than permanent repayment) of Revolving Loans with respect to Incremental Revolving Commitments after the associated Incremental Facility Closing Date may be made on a pro rata basis, less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51" w:name="page252"/>
    <w:bookmarkEnd w:id="251"/>
    <w:p>
      <w:pPr>
        <w:ind w:right="100"/>
        <w:spacing w:after="0" w:line="269" w:lineRule="auto"/>
        <w:rPr>
          <w:sz w:val="20"/>
          <w:szCs w:val="20"/>
          <w:color w:val="auto"/>
        </w:rPr>
      </w:pPr>
      <w:r>
        <w:rPr>
          <w:rFonts w:ascii="Times New Roman" w:cs="Times New Roman" w:eastAsia="Times New Roman" w:hAnsi="Times New Roman"/>
          <w:sz w:val="20"/>
          <w:szCs w:val="20"/>
          <w:color w:val="auto"/>
        </w:rPr>
        <w:t>than a pro rata basis or greater than a pro rata basis with all other outstanding Revolving Commitments existing on such Incremental Facility Closing Date,</w:t>
      </w:r>
    </w:p>
    <w:p>
      <w:pPr>
        <w:spacing w:after="0" w:line="159" w:lineRule="exact"/>
        <w:rPr>
          <w:sz w:val="20"/>
          <w:szCs w:val="20"/>
          <w:color w:val="auto"/>
        </w:rPr>
      </w:pPr>
    </w:p>
    <w:p>
      <w:pPr>
        <w:ind w:right="80" w:firstLine="1505"/>
        <w:spacing w:after="0" w:line="245" w:lineRule="auto"/>
        <w:tabs>
          <w:tab w:leader="none" w:pos="1893"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2.03(12)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2.04(7)</w:t>
      </w:r>
      <w:r>
        <w:rPr>
          <w:rFonts w:ascii="Times New Roman" w:cs="Times New Roman" w:eastAsia="Times New Roman" w:hAnsi="Times New Roman"/>
          <w:sz w:val="20"/>
          <w:szCs w:val="20"/>
          <w:color w:val="auto"/>
        </w:rPr>
        <w:t xml:space="preserve"> in connection with Letters of Credit and Swing Line Loans, respectively, which mature or expire after a Maturity Date at any time Incremental Revolving Commitments with a later Maturity Date are outstanding, shall provide that all Letters of Credit and Swing Line Loans shall be participated on a pro rata basis by each Lender with a Revolving Commitment in accordance with its percentage of the Revolving Commitments existing on the Incremental Facility Closing Date (and except as provided in </w:t>
      </w:r>
      <w:r>
        <w:rPr>
          <w:rFonts w:ascii="Times New Roman" w:cs="Times New Roman" w:eastAsia="Times New Roman" w:hAnsi="Times New Roman"/>
          <w:sz w:val="20"/>
          <w:szCs w:val="20"/>
          <w:u w:val="single" w:color="auto"/>
          <w:color w:val="auto"/>
        </w:rPr>
        <w:t>Sections 2.03(12)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2.04(7)</w:t>
      </w:r>
      <w:r>
        <w:rPr>
          <w:rFonts w:ascii="Times New Roman" w:cs="Times New Roman" w:eastAsia="Times New Roman" w:hAnsi="Times New Roman"/>
          <w:sz w:val="20"/>
          <w:szCs w:val="20"/>
          <w:color w:val="auto"/>
        </w:rPr>
        <w:t>, without giving effect to changes thereto on an earlier Maturity Date with respect to Letters of Credit and Swing Line Loans theretofore incurred or issued),</w:t>
      </w:r>
    </w:p>
    <w:p>
      <w:pPr>
        <w:spacing w:after="0" w:line="184" w:lineRule="exact"/>
        <w:rPr>
          <w:rFonts w:ascii="Times New Roman" w:cs="Times New Roman" w:eastAsia="Times New Roman" w:hAnsi="Times New Roman"/>
          <w:sz w:val="20"/>
          <w:szCs w:val="20"/>
          <w:color w:val="auto"/>
        </w:rPr>
      </w:pPr>
    </w:p>
    <w:p>
      <w:pPr>
        <w:ind w:right="140" w:firstLine="1505"/>
        <w:spacing w:after="0" w:line="245" w:lineRule="auto"/>
        <w:tabs>
          <w:tab w:leader="none" w:pos="1893"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provide that the permanent repayment of Revolving Loans in connection with a termination of Incremental Revolving Commitments after the associated Incremental Facility Closing Date may be made on a pro rata basis or less than a pro rata basis (or greater than a pro rata basis (I) with respect to (A) repayments required upon the Maturity Date of any Incremental Revolving Commitments and (B) repayments made in connection with any refinancing of Incremental Revolving Commitments or (II) as compared to any other Revolving Commitments with a later maturity date than such Incremental Revolving Commitments), in each case, with all other Revolving Commitments existing on such Incremental Facility Closing Date,</w:t>
      </w:r>
    </w:p>
    <w:p>
      <w:pPr>
        <w:spacing w:after="0" w:line="184" w:lineRule="exact"/>
        <w:rPr>
          <w:rFonts w:ascii="Times New Roman" w:cs="Times New Roman" w:eastAsia="Times New Roman" w:hAnsi="Times New Roman"/>
          <w:sz w:val="20"/>
          <w:szCs w:val="20"/>
          <w:color w:val="auto"/>
        </w:rPr>
      </w:pPr>
    </w:p>
    <w:p>
      <w:pPr>
        <w:ind w:right="40" w:firstLine="1505"/>
        <w:spacing w:after="0" w:line="254" w:lineRule="auto"/>
        <w:tabs>
          <w:tab w:leader="none" w:pos="1893"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provide that assignments and participations of Incremental Revolving Commitments and Incremental Revolving Loans shall be governed by the same assignment and participation provisions applicable to Revolving Commitments and Revolving Loans existing on the Incremental Facility Closing Date,</w:t>
      </w:r>
    </w:p>
    <w:p>
      <w:pPr>
        <w:spacing w:after="0" w:line="174" w:lineRule="exact"/>
        <w:rPr>
          <w:rFonts w:ascii="Times New Roman" w:cs="Times New Roman" w:eastAsia="Times New Roman" w:hAnsi="Times New Roman"/>
          <w:sz w:val="20"/>
          <w:szCs w:val="20"/>
          <w:color w:val="auto"/>
        </w:rPr>
      </w:pPr>
    </w:p>
    <w:p>
      <w:pPr>
        <w:ind w:right="160" w:firstLine="1505"/>
        <w:spacing w:after="0" w:line="246" w:lineRule="auto"/>
        <w:tabs>
          <w:tab w:leader="none" w:pos="1893"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provide that any Incremental Revolving Commitments may constitute a separate Class or Classes, as the case may be, of Commitments from the Classes constituting the applicable Revolving Commitments prior to the Incremental Facility Closing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at no time shall there be Revolving Commitments hereunder (including Incremental Revolving Commitments and any original Revolving Commitments) which have more than four (4) different Maturity Dates unless otherwise agreed to by the Administrative Agent,</w:t>
      </w:r>
    </w:p>
    <w:p>
      <w:pPr>
        <w:spacing w:after="0" w:line="184" w:lineRule="exact"/>
        <w:rPr>
          <w:rFonts w:ascii="Times New Roman" w:cs="Times New Roman" w:eastAsia="Times New Roman" w:hAnsi="Times New Roman"/>
          <w:sz w:val="20"/>
          <w:szCs w:val="20"/>
          <w:color w:val="auto"/>
        </w:rPr>
      </w:pPr>
    </w:p>
    <w:p>
      <w:pPr>
        <w:ind w:left="2300" w:hanging="795"/>
        <w:spacing w:after="0"/>
        <w:tabs>
          <w:tab w:leader="none" w:pos="23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have an Applicable Rate determined by the Borrower and the applicable Incremental Revolving Lenders,</w:t>
      </w:r>
    </w:p>
    <w:p>
      <w:pPr>
        <w:spacing w:after="0" w:line="215" w:lineRule="exact"/>
        <w:rPr>
          <w:rFonts w:ascii="Times New Roman" w:cs="Times New Roman" w:eastAsia="Times New Roman" w:hAnsi="Times New Roman"/>
          <w:sz w:val="20"/>
          <w:szCs w:val="20"/>
          <w:color w:val="auto"/>
        </w:rPr>
      </w:pPr>
    </w:p>
    <w:p>
      <w:pPr>
        <w:ind w:right="540" w:firstLine="1505"/>
        <w:spacing w:after="0" w:line="295" w:lineRule="auto"/>
        <w:tabs>
          <w:tab w:leader="none" w:pos="1893"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be denominated in Dollars or, subject to the consent of the Administrative Agent (not to be unreasonably withheld, delayed or conditioned), another currency as determined by the Borrower and the applicable Incremental Revolving Lenders,</w:t>
      </w:r>
    </w:p>
    <w:p>
      <w:pPr>
        <w:spacing w:after="0" w:line="13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at any time be guaranteed by any Subsidiary of the Borrower other than Subsidiaries that are Guarantors,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20"/>
          <w:szCs w:val="20"/>
          <w:color w:val="auto"/>
        </w:rPr>
      </w:pPr>
    </w:p>
    <w:p>
      <w:pPr>
        <w:ind w:right="540" w:firstLine="1505"/>
        <w:spacing w:after="0" w:line="254" w:lineRule="auto"/>
        <w:tabs>
          <w:tab w:leader="none" w:pos="1893"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Incremental Revolving Commitments and Incremental Revolving Loans that are secured, the obligations in respect thereof shall not be secured by any property or assets of the Borrower or any Restricted Subsidiary other than the Collateral,</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Incremental Revolving Commitments and Incremental Revolving Loans may be incurred in the form of a bridge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interim credit facility intended to be refinanced or replaced with long term indebtedness (so long as such credit facility includes customary “rollover provisions” that satisfy the requirements of clause (ii) above following such rollover), in which case, on or prior to the first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2" w:name="page253"/>
    <w:bookmarkEnd w:id="252"/>
    <w:p>
      <w:pPr>
        <w:spacing w:after="0" w:line="269" w:lineRule="auto"/>
        <w:rPr>
          <w:sz w:val="20"/>
          <w:szCs w:val="20"/>
          <w:color w:val="auto"/>
        </w:rPr>
      </w:pPr>
      <w:r>
        <w:rPr>
          <w:rFonts w:ascii="Times New Roman" w:cs="Times New Roman" w:eastAsia="Times New Roman" w:hAnsi="Times New Roman"/>
          <w:sz w:val="20"/>
          <w:szCs w:val="20"/>
          <w:color w:val="auto"/>
        </w:rPr>
        <w:t>anniversary of the incurrence of such “bridge” or other credit facility, clause (ii) above shall not prohibit the inclusion of customary terms for “bridge” facilities, including customary mandatory prepayment, repurchase or redemption provisions;</w:t>
      </w:r>
    </w:p>
    <w:p>
      <w:pPr>
        <w:spacing w:after="0" w:line="155" w:lineRule="exact"/>
        <w:rPr>
          <w:sz w:val="20"/>
          <w:szCs w:val="20"/>
          <w:color w:val="auto"/>
        </w:rPr>
      </w:pPr>
    </w:p>
    <w:p>
      <w:pPr>
        <w:jc w:val="both"/>
        <w:ind w:right="280" w:firstLine="936"/>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that on the date of effectiveness of any Incremental Revolving Commitments, the L/C Sublimit and/or Swing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Line Sublimit, as applicable, shall increase by an amount, if any, agreed upon by the Administrative Agent, the Borrower and the relevant Issuing Banks and/or the Swing Line Lender, as applicable; and</w:t>
      </w:r>
    </w:p>
    <w:p>
      <w:pPr>
        <w:spacing w:after="0" w:line="173" w:lineRule="exact"/>
        <w:rPr>
          <w:sz w:val="20"/>
          <w:szCs w:val="20"/>
          <w:color w:val="auto"/>
        </w:rPr>
      </w:pPr>
    </w:p>
    <w:p>
      <w:pPr>
        <w:ind w:right="300" w:firstLine="1880"/>
        <w:spacing w:after="0" w:line="269" w:lineRule="auto"/>
        <w:tabs>
          <w:tab w:leader="none" w:pos="2268"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fees applicable to the Incremental Term Loans of each Class shall be determined by the Borrower and the applicable Incremental Term Lenders and shall be set forth in each applicable Incremental Amendment.</w:t>
      </w:r>
    </w:p>
    <w:p>
      <w:pPr>
        <w:spacing w:after="0" w:line="159" w:lineRule="exact"/>
        <w:rPr>
          <w:rFonts w:ascii="Times New Roman" w:cs="Times New Roman" w:eastAsia="Times New Roman" w:hAnsi="Times New Roman"/>
          <w:sz w:val="20"/>
          <w:szCs w:val="20"/>
          <w:color w:val="auto"/>
        </w:rPr>
      </w:pPr>
    </w:p>
    <w:p>
      <w:pPr>
        <w:ind w:right="20" w:firstLine="1505"/>
        <w:spacing w:after="0" w:line="246" w:lineRule="auto"/>
        <w:tabs>
          <w:tab w:leader="none" w:pos="1893"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Commitments in respect of Incremental Term Loans and Incremental Revolving Commitments shall become Commitments (or in the case of an Incremental Revolving Commitment to be provided by an existing Revolving Lender, an increase in such Lender’s applicable Revolving Commitment), under this Agreement pursuant to an amendment (an “</w:t>
      </w:r>
      <w:r>
        <w:rPr>
          <w:rFonts w:ascii="Times New Roman" w:cs="Times New Roman" w:eastAsia="Times New Roman" w:hAnsi="Times New Roman"/>
          <w:sz w:val="20"/>
          <w:szCs w:val="20"/>
          <w:b w:val="1"/>
          <w:bCs w:val="1"/>
          <w:color w:val="auto"/>
        </w:rPr>
        <w:t>Incremental Amendment</w:t>
      </w:r>
      <w:r>
        <w:rPr>
          <w:rFonts w:ascii="Times New Roman" w:cs="Times New Roman" w:eastAsia="Times New Roman" w:hAnsi="Times New Roman"/>
          <w:sz w:val="20"/>
          <w:szCs w:val="20"/>
          <w:color w:val="auto"/>
        </w:rPr>
        <w:t>”) to this Agreement and, as appropriate, the other Loan Documents, executed by the Borrower, each Incremental Lender providing such Incremental Commitments and the Administrative Agent.</w:t>
      </w:r>
    </w:p>
    <w:p>
      <w:pPr>
        <w:spacing w:after="0" w:line="184" w:lineRule="exact"/>
        <w:rPr>
          <w:rFonts w:ascii="Times New Roman" w:cs="Times New Roman" w:eastAsia="Times New Roman" w:hAnsi="Times New Roman"/>
          <w:sz w:val="20"/>
          <w:szCs w:val="20"/>
          <w:color w:val="auto"/>
        </w:rPr>
      </w:pPr>
    </w:p>
    <w:p>
      <w:pPr>
        <w:ind w:right="360" w:firstLine="1505"/>
        <w:spacing w:after="0" w:line="260" w:lineRule="auto"/>
        <w:tabs>
          <w:tab w:leader="none" w:pos="1893"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(a) each Incremental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9"/>
          <w:szCs w:val="19"/>
          <w:u w:val="single" w:color="auto"/>
          <w:color w:val="auto"/>
        </w:rPr>
        <w:t>Section</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including to effect technical and corresponding amendments to this Agreement and the other Loan Documents and (b) at the option of the Borrower in consultation with the Administrative Agent, incorporate terms that would be favorable to existing Lenders of the applicable Class or Classes for the benefit of such existing Lenders of the applicable Class or Classes (including to the extent necessary or advisable to allow any Class of Incremental Commitments to be a Loan Increase), in each case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so long as the Administrative Agent reasonably agrees that such modification is favorable to the applicable Lenders. In connection with any Incremental Amendment, the Borrower shall, if reasonably requested by the Administrative Agent, deliver customary reaffirmation agreements and/or such amendments to the Collateral Documents as may be reasonably requested by the Administrative Agent in order to ensure that such Incremental Loans are provided with the benefit of the applicable Loan Documents. The Borrower may use the proceeds (if any) of the Incremental Loans for any purpose not prohibited by this Agreement. No Lender shall be obligated to provide any Incremental Commitments or Incremental Loans unless it so agrees.</w:t>
      </w:r>
    </w:p>
    <w:p>
      <w:pPr>
        <w:spacing w:after="0" w:line="189" w:lineRule="exact"/>
        <w:rPr>
          <w:rFonts w:ascii="Times New Roman" w:cs="Times New Roman" w:eastAsia="Times New Roman" w:hAnsi="Times New Roman"/>
          <w:sz w:val="19"/>
          <w:szCs w:val="19"/>
          <w:color w:val="auto"/>
        </w:rPr>
      </w:pPr>
    </w:p>
    <w:p>
      <w:pPr>
        <w:ind w:right="60" w:firstLine="1505"/>
        <w:spacing w:after="0" w:line="257" w:lineRule="auto"/>
        <w:tabs>
          <w:tab w:leader="none" w:pos="1893"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Revolving Exposure</w:t>
      </w:r>
      <w:r>
        <w:rPr>
          <w:rFonts w:ascii="Times New Roman" w:cs="Times New Roman" w:eastAsia="Times New Roman" w:hAnsi="Times New Roman"/>
          <w:sz w:val="19"/>
          <w:szCs w:val="19"/>
          <w:color w:val="auto"/>
        </w:rPr>
        <w:t xml:space="preserve">. Upon any Incremental Facility Closing Date on which Incremental Revolving Commitments are effected through an increase in the Revolving Commitments with respect to any existing Revolving Facility pursuant to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(a) each of the Revolving Lenders under such Facility shall assign to each of the Incremental Revolving Lenders, and each of the Incremental Revolving Lenders shall purchase from each of the Revolving Lenders, at the principal amount thereof, such interests in the Revolving Loans outstanding on such Incremental Facility Closing Date as shall be necessary in order that, after giving effect to all such assignments and purchases, such Revolving Loans will be held by existing Revolving Lenders and Incremental Revolving Lenders ratably in accordance with their Revolving Commitments after giving effect to the addition of such Incremental Revolving Commitments to the Revolving Commitments, (b) each Incremental Revolving Commitment shall be deemed for all purposes a Revolving Commitment and each Loan made thereunder shall be deemed, for all purposes, a Revolving Loan and (c) each Incremental Revolving Lender shall</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53" w:name="page254"/>
    <w:bookmarkEnd w:id="253"/>
    <w:p>
      <w:pPr>
        <w:spacing w:after="0" w:line="254" w:lineRule="auto"/>
        <w:rPr>
          <w:sz w:val="20"/>
          <w:szCs w:val="20"/>
          <w:color w:val="auto"/>
        </w:rPr>
      </w:pPr>
      <w:r>
        <w:rPr>
          <w:rFonts w:ascii="Times New Roman" w:cs="Times New Roman" w:eastAsia="Times New Roman" w:hAnsi="Times New Roman"/>
          <w:sz w:val="20"/>
          <w:szCs w:val="20"/>
          <w:color w:val="auto"/>
        </w:rPr>
        <w:t xml:space="preserve">become a Lender with respect to the Incremental Revolving Commitments and all matters relating thereto. The Administrative Agent and the Lenders hereby agree that the minimum borrowing and prepayment requirements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2.05(1)</w:t>
      </w:r>
      <w:r>
        <w:rPr>
          <w:rFonts w:ascii="Times New Roman" w:cs="Times New Roman" w:eastAsia="Times New Roman" w:hAnsi="Times New Roman"/>
          <w:sz w:val="20"/>
          <w:szCs w:val="20"/>
          <w:color w:val="auto"/>
        </w:rPr>
        <w:t xml:space="preserve"> of this Agreement shall not apply to the transactions effected pursuant to the immediately preceding sentence.</w:t>
      </w:r>
    </w:p>
    <w:p>
      <w:pPr>
        <w:spacing w:after="0" w:line="174" w:lineRule="exact"/>
        <w:rPr>
          <w:sz w:val="20"/>
          <w:szCs w:val="20"/>
          <w:color w:val="auto"/>
        </w:rPr>
      </w:pPr>
    </w:p>
    <w:p>
      <w:pPr>
        <w:ind w:right="100" w:firstLine="1505"/>
        <w:spacing w:after="0" w:line="254" w:lineRule="auto"/>
        <w:tabs>
          <w:tab w:leader="none" w:pos="1893"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 For the avoidance of doubt, any of the provisions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may be amended with the consent of the Required Lenders (or the applicable Required Facility Lenders, if applicable).</w:t>
      </w:r>
    </w:p>
    <w:p>
      <w:pPr>
        <w:spacing w:after="0" w:line="17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color w:val="auto"/>
        </w:rPr>
        <w:t>Refinancing Amendments.</w:t>
      </w:r>
    </w:p>
    <w:p>
      <w:pPr>
        <w:spacing w:after="0" w:line="216" w:lineRule="exact"/>
        <w:rPr>
          <w:sz w:val="20"/>
          <w:szCs w:val="20"/>
          <w:color w:val="auto"/>
        </w:rPr>
      </w:pPr>
    </w:p>
    <w:p>
      <w:pPr>
        <w:ind w:right="60" w:firstLine="1505"/>
        <w:spacing w:after="0" w:line="253" w:lineRule="auto"/>
        <w:tabs>
          <w:tab w:leader="none" w:pos="1893"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after the Closing Date, the Borrower may obtain, from any Lender or any Additional Lender (it being understood that (a) no Lender shall be required to provide any Other Loan without its consent, (b) Affiliated Lenders may not provide Other Revolving Commitments and (c) Other Term Loans provided by Affiliated Lenders shall be subject to the limitations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10.07(8)</w:t>
      </w:r>
      <w:r>
        <w:rPr>
          <w:rFonts w:ascii="Times New Roman" w:cs="Times New Roman" w:eastAsia="Times New Roman" w:hAnsi="Times New Roman"/>
          <w:sz w:val="19"/>
          <w:szCs w:val="19"/>
          <w:color w:val="auto"/>
        </w:rPr>
        <w:t xml:space="preserve">), Other Loans to refinance all or any portion of the applicable Class or Classes of Loans then outstanding under this Agreement which will be made pursuant to Other Term Loan Commitments, in the case of Other Term Loans, and pursuant to Other Revolving Commitments, in the case of Other Revolving Loans, in each case pursuant to a Refinancing Amendment;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Other Loans and Other Revolving Commitments (i) shall rank equal in priority in right of payment with the other Loans and Commitments hereunder, (ii) shall be unsecured or rank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(without regard to the control of remedies) or junior in right of security with any First Lien Obligations under this Agreement and, if secured on a (x)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shall be subject to a Equal Priority Intercreditor Agreement and (y) junior basis, shall be subject to an applicable Intercreditor Agreement(s), (iii) if secured, shall not be secured by any property or assets of the Borrower or any Restricted Subsidiary other than the Collateral, (iv) shall not at any time be guaranteed by any Subsidiary of the Borrower other than Subsidiaries that are Guarantors, (v)(I) shall have interest rates (including through fixed interest rates), interest margins, rate floors, upfront fees, funding discounts, original issue discounts and prepayment terms and premiums as may be agreed by the Borrower and the Lenders thereof and/or (II) may provide for additional fees and/or premiums payable to the Lenders providing such Other Loans in addition to any of the items contemplated by the preceding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in each case, to the extent provided in the applicable Refinancing Amendment, (vi) may have optional prepayment terms (including call protection and prepayment terms and premiums) as may be agreed between the Borrower and the Lenders thereof, (vii) at the time of incurrence thereof, will have a final maturity date no earlier than the Term Loans or Revolving Commitments being refinanced and, in the case of Other Term Loans, will have a Weighted Average Life to Maturity equal to or greater than the then-remaining Weighted Average Life to Maturity of the Term Loans being refinanced and (viii) will have such other terms and conditions (other than as provided in foregoing </w:t>
      </w:r>
      <w:r>
        <w:rPr>
          <w:rFonts w:ascii="Times New Roman" w:cs="Times New Roman" w:eastAsia="Times New Roman" w:hAnsi="Times New Roman"/>
          <w:sz w:val="19"/>
          <w:szCs w:val="19"/>
          <w:u w:val="single" w:color="auto"/>
          <w:color w:val="auto"/>
        </w:rPr>
        <w:t>clauses (ii)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 xml:space="preserve">) that either, at the option of the Borrower, (I) if otherwise not consistent with the terms of such Class of Loans or Commitments being refinanced, not be materially more restrictive to the Borrower (as determined by the Borrower in good faith), when taken as a whole, than the terms of such Class of Loans or Commitments being refinanced, except, in each case under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with respect to (A) covenants and other terms applicable to any period after the Latest Maturity Date of the Term Loans or Revolving Commitments being refinanced or (B) a Previously Absent Financial Maintenance Covenant (so long as, (1) to the extent that any such terms of any Other Terms Loans contain a Previously Absent Financial Maintenance Covenant that is in effect prior to the Latest Maturity Date of the Closing Date Term Loans, such Previously Absent Financial Maintenance Covenant shall be included for the benefit of the Closing Date Term Loans and (2) to the extent that any such terms of any Other Revolving Loans and Other Revolving Commitments contain a Previously Absent Financial Maintenance Covenant that is in effect prior to the Latest Maturity Date of the Closing Date Revolving Facility, such Previously Absent Financial Maintenance Covenant shall be included for the benefit of the Closing Date Revolving Facility) or (II) such terms as are reasonably satisfactory to the Administrative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4" w:name="page255"/>
    <w:bookmarkEnd w:id="254"/>
    <w:p>
      <w:pPr>
        <w:spacing w:after="0" w:line="254" w:lineRule="auto"/>
        <w:rPr>
          <w:sz w:val="20"/>
          <w:szCs w:val="20"/>
          <w:color w:val="auto"/>
        </w:rPr>
      </w:pPr>
      <w:r>
        <w:rPr>
          <w:rFonts w:ascii="Times New Roman" w:cs="Times New Roman" w:eastAsia="Times New Roman" w:hAnsi="Times New Roman"/>
          <w:sz w:val="19"/>
          <w:szCs w:val="19"/>
          <w:color w:val="auto"/>
        </w:rPr>
        <w:t>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Borrower’s election, to the extent any term or provision is added for the benefit of (A) the lenders of Other Term Loans or Other Revolving Commitments, no consent shall be required from the Administrative Agent or any Lender to the extent that such term or provision is also added, or the features of such term or provision are provided, for the benefit of the Lenders of the Closing Date Term Loans or (B) the lenders under Other Revolving Commitments, no consent shall be required from the Administrative Agent or any Lender to the extent that such term or provision is also added, or the features of such term or provision are provided, for the benefit of the Lenders of the Closing Date Revolving Facility). Any Other Term Loans may participate on a pro rata basis, less than a pro rata basis or greater than a pro rata basis in any prepayments of Term Loans hereunder (except that, unless otherwise permitted under this Agreement or unless the Class of Term Loans being refinanced was so entitled to participate on a greater than a pro rata basis in such mandatory prepayments, such Other Term Loans may not participate on a greater than a pro rata basis as compared to any earlier maturing Class of Term Loans constituting First Lien Obligations in any mandatory prepayments under </w:t>
      </w:r>
      <w:r>
        <w:rPr>
          <w:rFonts w:ascii="Times New Roman" w:cs="Times New Roman" w:eastAsia="Times New Roman" w:hAnsi="Times New Roman"/>
          <w:sz w:val="19"/>
          <w:szCs w:val="19"/>
          <w:u w:val="single" w:color="auto"/>
          <w:color w:val="auto"/>
        </w:rPr>
        <w:t>Section 2.05(2)(b)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(c)(i)</w:t>
      </w:r>
      <w:r>
        <w:rPr>
          <w:rFonts w:ascii="Times New Roman" w:cs="Times New Roman" w:eastAsia="Times New Roman" w:hAnsi="Times New Roman"/>
          <w:sz w:val="19"/>
          <w:szCs w:val="19"/>
          <w:color w:val="auto"/>
        </w:rPr>
        <w:t xml:space="preserve">), as specified in the applicable Refinancing Amendment. All Other Revolving Commitments shall provide that (a) except as provided under </w:t>
      </w:r>
      <w:r>
        <w:rPr>
          <w:rFonts w:ascii="Times New Roman" w:cs="Times New Roman" w:eastAsia="Times New Roman" w:hAnsi="Times New Roman"/>
          <w:sz w:val="19"/>
          <w:szCs w:val="19"/>
          <w:u w:val="single" w:color="auto"/>
          <w:color w:val="auto"/>
        </w:rPr>
        <w:t>sub-clause (b)</w:t>
      </w:r>
      <w:r>
        <w:rPr>
          <w:rFonts w:ascii="Times New Roman" w:cs="Times New Roman" w:eastAsia="Times New Roman" w:hAnsi="Times New Roman"/>
          <w:sz w:val="19"/>
          <w:szCs w:val="19"/>
          <w:color w:val="auto"/>
        </w:rPr>
        <w:t xml:space="preserve"> below, borrowings and repayments (other than permanent repayments) of principal under the applicable Other Revolving Commitments may be made on a pro rata basis, less than a pro rata basis or greater than a pro rata basis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the permanent repayment of Other Revolving Loans in connection with a termination of Other Revolving Commitments may be made on a pro rata basis or less than a pro rata basis (or greater than a pro rata basis (i) with respect to (I) repayments required upon the Maturity Date of any Other Revolving Commitments and (II) repayments made in connection with any refinancing of Other Revolving Commitments or (ii) as compared to any other Revolving Commitments with a later maturity date than such Other Revolving Commitments), in each case, with all other Revolving Commitments. In connection with any Refinancing Amendment, the Borrower shall, if reasonably requested by the Administrative Agent, deliver customary reaffirmation agreements and/or such amendments to the Collateral Documents as may be reasonably requested by the Administrative Agent in order to ensure that such Other Loans or Other Revolving Commitments are provided with the benefit of the applicable Loan Documents.</w:t>
      </w:r>
    </w:p>
    <w:p>
      <w:pPr>
        <w:spacing w:after="0" w:line="186" w:lineRule="exact"/>
        <w:rPr>
          <w:sz w:val="20"/>
          <w:szCs w:val="20"/>
          <w:color w:val="auto"/>
        </w:rPr>
      </w:pPr>
    </w:p>
    <w:p>
      <w:pPr>
        <w:ind w:right="280" w:firstLine="1505"/>
        <w:spacing w:after="0" w:line="243" w:lineRule="auto"/>
        <w:tabs>
          <w:tab w:leader="none" w:pos="1893"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Class of Other Commitments and Other Loans incurred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in an aggregate principal amount that is not less than $5,000,000.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Other Commitments and Other Loans incurred pursuant thereto (including any amendments necessary to treat the Other Loans and/or Other Commitments as Loans and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2.15.</w:t>
      </w:r>
    </w:p>
    <w:p>
      <w:pPr>
        <w:spacing w:after="0" w:line="189" w:lineRule="exact"/>
        <w:rPr>
          <w:rFonts w:ascii="Times New Roman" w:cs="Times New Roman" w:eastAsia="Times New Roman" w:hAnsi="Times New Roman"/>
          <w:sz w:val="20"/>
          <w:szCs w:val="20"/>
          <w:color w:val="auto"/>
        </w:rPr>
      </w:pPr>
    </w:p>
    <w:p>
      <w:pPr>
        <w:ind w:right="60" w:firstLine="1505"/>
        <w:spacing w:after="0" w:line="256" w:lineRule="auto"/>
        <w:tabs>
          <w:tab w:leader="none" w:pos="1893"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shall supersede any provisions in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10.01</w:t>
      </w:r>
      <w:r>
        <w:rPr>
          <w:rFonts w:ascii="Times New Roman" w:cs="Times New Roman" w:eastAsia="Times New Roman" w:hAnsi="Times New Roman"/>
          <w:sz w:val="19"/>
          <w:szCs w:val="19"/>
          <w:color w:val="auto"/>
        </w:rPr>
        <w:t xml:space="preserve"> to the contrary. For the avoidance of doubt, any of the provisions of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may be amended with the consent of the Required Lenders (or the applicable Required Facility Lenders, if applicable). Notwithstanding anything to the contrary in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(a) each Refinancing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9"/>
          <w:szCs w:val="19"/>
          <w:u w:val="single" w:color="auto"/>
          <w:color w:val="auto"/>
        </w:rPr>
        <w:t>Section</w:t>
      </w:r>
    </w:p>
    <w:p>
      <w:pPr>
        <w:spacing w:after="0" w:line="4" w:lineRule="exact"/>
        <w:rPr>
          <w:rFonts w:ascii="Times New Roman" w:cs="Times New Roman" w:eastAsia="Times New Roman" w:hAnsi="Times New Roman"/>
          <w:sz w:val="19"/>
          <w:szCs w:val="19"/>
          <w:color w:val="auto"/>
        </w:rPr>
      </w:pPr>
    </w:p>
    <w:p>
      <w:pPr>
        <w:jc w:val="both"/>
        <w:ind w:right="12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including to effect technical and corresponding amendments to this Agreement and the other Loan Documents and (b) at the option of the Borrower in consultation with the Administrative Agent, incorporate terms that would be favorable to existing Lenders of the applicable Class or Classes for the benefit of such existing Lenders of the applicable Class or Classes, in each case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so long as the Administrative Agent reasonably agrees that such modification is favorable to the applicable Lenders.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255" w:name="page256"/>
    <w:bookmarkEnd w:id="255"/>
    <w:p>
      <w:pPr>
        <w:ind w:left="1492"/>
        <w:spacing w:after="0"/>
        <w:tabs>
          <w:tab w:leader="none" w:pos="3052" w:val="left"/>
        </w:tabs>
        <w:rPr>
          <w:sz w:val="20"/>
          <w:szCs w:val="20"/>
          <w:color w:val="auto"/>
        </w:rPr>
      </w:pPr>
      <w:r>
        <w:rPr>
          <w:rFonts w:ascii="Times New Roman" w:cs="Times New Roman" w:eastAsia="Times New Roman" w:hAnsi="Times New Roman"/>
          <w:sz w:val="20"/>
          <w:szCs w:val="20"/>
          <w:color w:val="auto"/>
        </w:rPr>
        <w:t>SECTION 2.16</w:t>
      </w:r>
      <w:r>
        <w:rPr>
          <w:sz w:val="20"/>
          <w:szCs w:val="20"/>
          <w:color w:val="auto"/>
        </w:rPr>
        <w:tab/>
      </w:r>
      <w:r>
        <w:rPr>
          <w:rFonts w:ascii="Times New Roman" w:cs="Times New Roman" w:eastAsia="Times New Roman" w:hAnsi="Times New Roman"/>
          <w:sz w:val="19"/>
          <w:szCs w:val="19"/>
          <w:color w:val="auto"/>
        </w:rPr>
        <w:t>Extensions of Loans.</w:t>
      </w:r>
    </w:p>
    <w:p>
      <w:pPr>
        <w:spacing w:after="0" w:line="216" w:lineRule="exact"/>
        <w:rPr>
          <w:sz w:val="20"/>
          <w:szCs w:val="20"/>
          <w:color w:val="auto"/>
        </w:rPr>
      </w:pPr>
    </w:p>
    <w:p>
      <w:pPr>
        <w:ind w:left="-8" w:firstLine="1505"/>
        <w:spacing w:after="0" w:line="253" w:lineRule="auto"/>
        <w:tabs>
          <w:tab w:leader="none" w:pos="1885" w:val="left"/>
        </w:tabs>
        <w:numPr>
          <w:ilvl w:val="1"/>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Extension of Term Loans</w:t>
      </w:r>
      <w:r>
        <w:rPr>
          <w:rFonts w:ascii="Times New Roman" w:cs="Times New Roman" w:eastAsia="Times New Roman" w:hAnsi="Times New Roman"/>
          <w:sz w:val="19"/>
          <w:szCs w:val="19"/>
          <w:color w:val="auto"/>
        </w:rPr>
        <w:t>. The Borrower may at any time and from time to time request that all or a portion of the Term Loans of any Class (each, an “</w:t>
      </w:r>
      <w:r>
        <w:rPr>
          <w:rFonts w:ascii="Times New Roman" w:cs="Times New Roman" w:eastAsia="Times New Roman" w:hAnsi="Times New Roman"/>
          <w:sz w:val="19"/>
          <w:szCs w:val="19"/>
          <w:b w:val="1"/>
          <w:bCs w:val="1"/>
          <w:color w:val="auto"/>
        </w:rPr>
        <w:t>Existing Term Loan Class</w:t>
      </w:r>
      <w:r>
        <w:rPr>
          <w:rFonts w:ascii="Times New Roman" w:cs="Times New Roman" w:eastAsia="Times New Roman" w:hAnsi="Times New Roman"/>
          <w:sz w:val="19"/>
          <w:szCs w:val="19"/>
          <w:color w:val="auto"/>
        </w:rPr>
        <w:t>”) be converted or exchanged to extend the scheduled Maturity Date(s) of any payment of principal with respect to all or a portion of any principal amount of such Term Loans (any such Term Loans which have been so extended, “</w:t>
      </w:r>
      <w:r>
        <w:rPr>
          <w:rFonts w:ascii="Times New Roman" w:cs="Times New Roman" w:eastAsia="Times New Roman" w:hAnsi="Times New Roman"/>
          <w:sz w:val="19"/>
          <w:szCs w:val="19"/>
          <w:b w:val="1"/>
          <w:bCs w:val="1"/>
          <w:color w:val="auto"/>
        </w:rPr>
        <w:t>Extended Term Loans</w:t>
      </w:r>
      <w:r>
        <w:rPr>
          <w:rFonts w:ascii="Times New Roman" w:cs="Times New Roman" w:eastAsia="Times New Roman" w:hAnsi="Times New Roman"/>
          <w:sz w:val="19"/>
          <w:szCs w:val="19"/>
          <w:color w:val="auto"/>
        </w:rPr>
        <w:t xml:space="preserve">”) and to provide for other terms consistent with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Prior to entering into any Extension Amendment with respect to any Extended Term Loans, the Borrower shall provide written notice to the Administrative Agent (who shall provide a copy of such notice to Lenders selected by the Borrower under the applicable Existing Term Loan Class (it being understood that any such request need not be offered equally to all such Lenders of such Existing Term Loan Class)) (each, a “</w:t>
      </w:r>
      <w:r>
        <w:rPr>
          <w:rFonts w:ascii="Times New Roman" w:cs="Times New Roman" w:eastAsia="Times New Roman" w:hAnsi="Times New Roman"/>
          <w:sz w:val="19"/>
          <w:szCs w:val="19"/>
          <w:b w:val="1"/>
          <w:bCs w:val="1"/>
          <w:color w:val="auto"/>
        </w:rPr>
        <w:t>Term Loan Extension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Request</w:t>
      </w:r>
      <w:r>
        <w:rPr>
          <w:rFonts w:ascii="Times New Roman" w:cs="Times New Roman" w:eastAsia="Times New Roman" w:hAnsi="Times New Roman"/>
          <w:sz w:val="19"/>
          <w:szCs w:val="19"/>
          <w:color w:val="auto"/>
        </w:rPr>
        <w:t>”) setting forth the proposed terms of the Extended Term Loans to be established, which terms shall be identical in all material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respects to the Term Loans of the Existing Term Loan Class from which they are to be extended except that (a) the scheduled final maturity date shall be extended and all or any of the scheduled amortization payments, if any, of all or a portion of any principal amount of such Extended Term Loans may be delayed to later dates than the scheduled amortization, if any, of principal of the Term Loans of such Existing Term Loan Class (with any such delay resulting in a corresponding adjustment to the scheduled amortization payments reflected in the Extension Amendment, the Incremental Amendment, the Refinancing Amendment or any other amendment, as the case may be, with respect to the Existing Term Loan Class from which such Extended Term Loans were extended), (b)(i) the interest rates (including through fixed interest rates), interest margins, rate floors, upfront fees, funding discounts, original issue discounts and voluntary prepayment terms and premiums with respect to the Extended Term Loans may be different than those for the Term Loans of such Existing Term Loan Class and/or</w:t>
      </w:r>
    </w:p>
    <w:p>
      <w:pPr>
        <w:spacing w:after="0" w:line="9" w:lineRule="exact"/>
        <w:rPr>
          <w:rFonts w:ascii="Times New Roman" w:cs="Times New Roman" w:eastAsia="Times New Roman" w:hAnsi="Times New Roman"/>
          <w:sz w:val="19"/>
          <w:szCs w:val="19"/>
          <w:color w:val="auto"/>
        </w:rPr>
      </w:pPr>
    </w:p>
    <w:p>
      <w:pPr>
        <w:ind w:left="-8" w:firstLine="8"/>
        <w:spacing w:after="0" w:line="239" w:lineRule="auto"/>
        <w:tabs>
          <w:tab w:leader="none" w:pos="283"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fees and/or premiums may be payable to the Lenders providing such Extended Term Loans in addition to any of the items contemplated by the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in each case, to the extent provided in the applicable Extension Amendment, (c) the Extended Term Loans may have optional prepayment terms (including call protection and prepayment terms and premiums) as may be agreed between the Borrower and the Lenders thereof, (d) any Extended Term Loans may participate on a pro rata basis, less than a pro rata basis or greater than a pro rata basis in any mandatory prepayments of Term Loans hereunder (except that, unless otherwise permitted under this Agreement, such Extended Term Loans may not participate on a greater than pro rata basis as compared to any earlier maturing Class of Term Loans in any mandatory prepayments under </w:t>
      </w:r>
      <w:r>
        <w:rPr>
          <w:rFonts w:ascii="Times New Roman" w:cs="Times New Roman" w:eastAsia="Times New Roman" w:hAnsi="Times New Roman"/>
          <w:sz w:val="20"/>
          <w:szCs w:val="20"/>
          <w:u w:val="single" w:color="auto"/>
          <w:color w:val="auto"/>
        </w:rPr>
        <w:t>Section 2.05(2)(b)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(c)(i)</w:t>
      </w:r>
      <w:r>
        <w:rPr>
          <w:rFonts w:ascii="Times New Roman" w:cs="Times New Roman" w:eastAsia="Times New Roman" w:hAnsi="Times New Roman"/>
          <w:sz w:val="20"/>
          <w:szCs w:val="20"/>
          <w:color w:val="auto"/>
        </w:rPr>
        <w:t xml:space="preserve">), in each case as specified in the respective Term Loan Extension Request and (e) the Extension Amendment may provide for such other terms and conditions (other than as provided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with respect to the Extended Term Loans that either, at the option of the Borrower, (i) reflect market terms and conditions (taken as a whole) at the time of such Extension Amendment (as determined by the Borrower in good faith), (ii) if otherwise not consistent with the terms of the Existing Term Loan Class subject to such Term Loan Extension Request, are not materially more restrictive to the Borrower (as determined by the Borrower in good faith), when taken as a whole, than the terms of such Existing Term Loan Class subject to such Term Loan Extension Request, except, in each case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with respect to (I) covenants and other terms applicable solely to any period after the Latest Maturity Date in respect of such Existing Term Loan Class subject to such Term Loan Extension Request in effect immediately prior to such Extension Amendment or (II) a Previously Absent Financial Maintenance Covenant (so long as, to the extent that any Extended Terms Loans contain a Previously Absent Financial Maintenance Covenant that is in effect prior to the applicable Latest Maturity Date of the Closing Date Term Loans, such Previously Absent Financial Maintenance Covenant shall be included for the benefit of the Closing Date Term Loans) or (iii) such terms as are reasonably satisfactory to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Borrower’s election, to the extent any term or provision is added for the benefit of the lenders of Extended Term Loans, no consent shall be required from the Administrative Agent or any Lender to the extent that such term or provision is also added, or the features of such term or provision are provided, for the benefit of the Lenders of the Closing Date Term Loans).</w:t>
      </w:r>
    </w:p>
    <w:p>
      <w:pPr>
        <w:spacing w:after="0" w:line="200" w:lineRule="exact"/>
        <w:rPr>
          <w:sz w:val="20"/>
          <w:szCs w:val="20"/>
          <w:color w:val="auto"/>
        </w:rPr>
      </w:pPr>
    </w:p>
    <w:p>
      <w:pPr>
        <w:spacing w:after="0" w:line="21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256" w:name="page257"/>
    <w:bookmarkEnd w:id="256"/>
    <w:p>
      <w:pPr>
        <w:ind w:right="80"/>
        <w:spacing w:after="0" w:line="245" w:lineRule="auto"/>
        <w:rPr>
          <w:sz w:val="20"/>
          <w:szCs w:val="20"/>
          <w:color w:val="auto"/>
        </w:rPr>
      </w:pPr>
      <w:r>
        <w:rPr>
          <w:rFonts w:ascii="Times New Roman" w:cs="Times New Roman" w:eastAsia="Times New Roman" w:hAnsi="Times New Roman"/>
          <w:sz w:val="20"/>
          <w:szCs w:val="20"/>
          <w:color w:val="auto"/>
        </w:rPr>
        <w:t>No Lender shall have any obligation to agree to have any of its Term Loans of any Existing Term Loan Class converted into Extended Term Loans pursuant to any Term Loan Extension Request. Any Extended Term Loans extended pursuant to any Term Loan Extension Request shall be designated a series (each, a “</w:t>
      </w:r>
      <w:r>
        <w:rPr>
          <w:rFonts w:ascii="Times New Roman" w:cs="Times New Roman" w:eastAsia="Times New Roman" w:hAnsi="Times New Roman"/>
          <w:sz w:val="20"/>
          <w:szCs w:val="20"/>
          <w:b w:val="1"/>
          <w:bCs w:val="1"/>
          <w:color w:val="auto"/>
        </w:rPr>
        <w:t>Term Loan Extension Series</w:t>
      </w:r>
      <w:r>
        <w:rPr>
          <w:rFonts w:ascii="Times New Roman" w:cs="Times New Roman" w:eastAsia="Times New Roman" w:hAnsi="Times New Roman"/>
          <w:sz w:val="20"/>
          <w:szCs w:val="20"/>
          <w:color w:val="auto"/>
        </w:rPr>
        <w:t xml:space="preserve">”) of Extended Term Loans for all purposes of this Agreement and shall constitute a separate Class of Loans from the Existing Term Loan Class from which they were extended;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Extended Term Loans amended from an Existing Term Loan Class may, to the extent provided in the applicable Extension Amendment, be designated as an increase in any previously established Term Loan Extension Series with respect to such Existing Term Loan Class.</w:t>
      </w:r>
    </w:p>
    <w:p>
      <w:pPr>
        <w:spacing w:after="0" w:line="184" w:lineRule="exact"/>
        <w:rPr>
          <w:sz w:val="20"/>
          <w:szCs w:val="20"/>
          <w:color w:val="auto"/>
        </w:rPr>
      </w:pPr>
    </w:p>
    <w:p>
      <w:pPr>
        <w:ind w:firstLine="1505"/>
        <w:spacing w:after="0"/>
        <w:tabs>
          <w:tab w:leader="none" w:pos="1893"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Revolving Commitments</w:t>
      </w:r>
      <w:r>
        <w:rPr>
          <w:rFonts w:ascii="Times New Roman" w:cs="Times New Roman" w:eastAsia="Times New Roman" w:hAnsi="Times New Roman"/>
          <w:sz w:val="20"/>
          <w:szCs w:val="20"/>
          <w:color w:val="auto"/>
        </w:rPr>
        <w:t>. The Borrower may at any time and from time to time request that all or a portion of the Revolving Commitments of any Class (each, an “</w:t>
      </w:r>
      <w:r>
        <w:rPr>
          <w:rFonts w:ascii="Times New Roman" w:cs="Times New Roman" w:eastAsia="Times New Roman" w:hAnsi="Times New Roman"/>
          <w:sz w:val="20"/>
          <w:szCs w:val="20"/>
          <w:b w:val="1"/>
          <w:bCs w:val="1"/>
          <w:color w:val="auto"/>
        </w:rPr>
        <w:t>Existing Revolving Class</w:t>
      </w:r>
      <w:r>
        <w:rPr>
          <w:rFonts w:ascii="Times New Roman" w:cs="Times New Roman" w:eastAsia="Times New Roman" w:hAnsi="Times New Roman"/>
          <w:sz w:val="20"/>
          <w:szCs w:val="20"/>
          <w:color w:val="auto"/>
        </w:rPr>
        <w:t>”) be converted or exchanged to extend the scheduled Maturity Date(s) of any payment of principal with respect to all or a portion of any principal amount of such Revolving Commitments (any such Revolving Commitments which have been so extended, “</w:t>
      </w:r>
      <w:r>
        <w:rPr>
          <w:rFonts w:ascii="Times New Roman" w:cs="Times New Roman" w:eastAsia="Times New Roman" w:hAnsi="Times New Roman"/>
          <w:sz w:val="20"/>
          <w:szCs w:val="20"/>
          <w:b w:val="1"/>
          <w:bCs w:val="1"/>
          <w:color w:val="auto"/>
        </w:rPr>
        <w:t>Extended Revolving Commitments</w:t>
      </w:r>
      <w:r>
        <w:rPr>
          <w:rFonts w:ascii="Times New Roman" w:cs="Times New Roman" w:eastAsia="Times New Roman" w:hAnsi="Times New Roman"/>
          <w:sz w:val="20"/>
          <w:szCs w:val="20"/>
          <w:color w:val="auto"/>
        </w:rPr>
        <w:t xml:space="preserve">”) and to provide for other terms consistent with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Prior to entering into any Extension Amendment with respect to any Extended Revolving Commitments, the Borrower shall provide written notice to the Administrative Agent (and the Administrative Agent shall provide a copy of such notice to the Lenders selected by the Borrower under the applicable Existing Revolving Class (it being understood that any such request need not be offered equally to all such Lenders of such Existing Revolving Class)) (each, a “</w:t>
      </w:r>
      <w:r>
        <w:rPr>
          <w:rFonts w:ascii="Times New Roman" w:cs="Times New Roman" w:eastAsia="Times New Roman" w:hAnsi="Times New Roman"/>
          <w:sz w:val="20"/>
          <w:szCs w:val="20"/>
          <w:b w:val="1"/>
          <w:bCs w:val="1"/>
          <w:color w:val="auto"/>
        </w:rPr>
        <w:t>Revolving Extension Request</w:t>
      </w:r>
      <w:r>
        <w:rPr>
          <w:rFonts w:ascii="Times New Roman" w:cs="Times New Roman" w:eastAsia="Times New Roman" w:hAnsi="Times New Roman"/>
          <w:sz w:val="20"/>
          <w:szCs w:val="20"/>
          <w:color w:val="auto"/>
        </w:rPr>
        <w:t xml:space="preserve">”) setting forth the proposed terms of the Extended Revolving Commitments to be established, which terms shall be identical in all material respects to the Revolving Commitments of the Existing Revolving Class from which they are to be extended except that (a) the scheduled final maturity date shall be extended to a later date than the scheduled final maturity date of the Revolving Commitments of such Existing Revolving Class;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at no time shall there be Classes of Revolving Commitments hereunder (including Extended Revolving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Commitments) which have more than four (4) different Maturity Dates (unless otherwise consented to by the Administrative Agent), (b) (i) the interest rates (including through fixed interest rates), interest margins, rate floors, upfront fees, funding discounts, original issue discounts and voluntary prepayment terms and premiums with respect to the Extended Revolving Commitments may be different than those for the Revolving Commitments of such Existing Revolving Class and/or (ii) additional fees and/or premiums may be payable to the Lenders providing such Extended Revolving Commitments in addition to any of the items contemplated by the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in each case, to the extent provided in the applicable Extension Amendment, (c) (i) except as provided under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below, all borrowings under the Extended Revolving Commitments of the applicable Revolving Extension Series and repayments thereunder (other than permanent repayments) may be made on a pro rata basis, less than a pro rata basis or greater than a pro rata basis and (ii) the permanent repayment of outstanding Revolving Loans under the Extended Revolving Commitments in connection with a termination of Extended Revolving Commitments may be made on a pro rata basis or less than a pro rata basis (or greater than a pro rata basis (I) with respect to (A) repayments required upon the Maturity Date of the non-extending Revolving Commitments or the Extended Revolving Commitments and (B) repayments made in connection with any refinancing of Extended Revolving Commitments or (II) as compared to any other Revolving Commitments with a later maturity date than such Extended Revolving Commitments), in each case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with all other Revolving Commitments and (d) the Extension Amendment may provide for such other terms and conditions (other than as provided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with respect to the Extended Revolving Commitments that either, at the option of the Borrower, (i) reflect market terms and conditions (taken as a whole) at the time of such Extension Amendment (as determined by the Borrower in good faith), (ii) if otherwise not consistent with the Existing Revolving Class subject to such Revolving Extension Request, are not materially more restrictive to the Borrower (as determined by the Borrower in good faith), when taken as a whole, than the terms of such Existing Revolving Class subject to such Revolving Extension Request, except, in each case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with respect to (I) covenants and other terms applicable solely to any period after the Latest Maturity Date in respect of such Existing</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57" w:name="page258"/>
    <w:bookmarkEnd w:id="257"/>
    <w:p>
      <w:pPr>
        <w:spacing w:after="0" w:line="255" w:lineRule="auto"/>
        <w:rPr>
          <w:sz w:val="20"/>
          <w:szCs w:val="20"/>
          <w:color w:val="auto"/>
        </w:rPr>
      </w:pPr>
      <w:r>
        <w:rPr>
          <w:rFonts w:ascii="Times New Roman" w:cs="Times New Roman" w:eastAsia="Times New Roman" w:hAnsi="Times New Roman"/>
          <w:sz w:val="19"/>
          <w:szCs w:val="19"/>
          <w:color w:val="auto"/>
        </w:rPr>
        <w:t>Revolving Class subject to such Revolving Extension Request in effect immediately prior to such Extension Amendment or (II) a Previously Absent Financial Maintenance Covenant (so long as, to the extent that any such terms of any Extended Revolving Commitments contain a Previously Absent Financial Maintenance Covenant that is in effect prior to the applicable Latest Maturity Date of the Closing Date Revolving Facility, such Previously Absent Financial Maintenance Covenant shall be included for the benefit of the Closing Date Revolving Facility) or (iii) such terms as are reasonably satisfactory to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Borrower’s election, (A) to the extent any term or provision is added for the benefit of the lenders of Extended Revolving Commitments, no consent shall be required from the Administrative Agent or any Lender to the extent that such term or provision is also added, or the features of such term or provision are provided, for the benefit of the Lenders of the Closing Date Revolving Facility). No Lender shall have any obligation to agree to have any of its Revolving Commitments of any Existing Revolving Class converted into Extended Revolving Commitments pursuant to any Revolving Extension Request. Any Extended Revolving Commitments extended pursuant to any Revolving Extension Request shall be designated a series (each, a “</w:t>
      </w:r>
      <w:r>
        <w:rPr>
          <w:rFonts w:ascii="Times New Roman" w:cs="Times New Roman" w:eastAsia="Times New Roman" w:hAnsi="Times New Roman"/>
          <w:sz w:val="19"/>
          <w:szCs w:val="19"/>
          <w:b w:val="1"/>
          <w:bCs w:val="1"/>
          <w:color w:val="auto"/>
        </w:rPr>
        <w:t>Revolving Extension Series</w:t>
      </w:r>
      <w:r>
        <w:rPr>
          <w:rFonts w:ascii="Times New Roman" w:cs="Times New Roman" w:eastAsia="Times New Roman" w:hAnsi="Times New Roman"/>
          <w:sz w:val="19"/>
          <w:szCs w:val="19"/>
          <w:color w:val="auto"/>
        </w:rPr>
        <w:t xml:space="preserve">”) of Extended Revolving Commitments for all purposes of this Agreement and shall constitute a separate Class of Revolving Commitments from the Existing Revolving Class from which they were extended;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Extended Revolving Commitments amended from an Existing Revolving Class may, to the extent provided in the applicable Extension Amendment, be designated as an increase in any previously established Revolving Extension Series with respect to such Existing Revolving Class.</w:t>
      </w:r>
    </w:p>
    <w:p>
      <w:pPr>
        <w:spacing w:after="0" w:line="179" w:lineRule="exact"/>
        <w:rPr>
          <w:sz w:val="20"/>
          <w:szCs w:val="20"/>
          <w:color w:val="auto"/>
        </w:rPr>
      </w:pPr>
    </w:p>
    <w:p>
      <w:pPr>
        <w:ind w:right="60" w:firstLine="1505"/>
        <w:spacing w:after="0" w:line="241" w:lineRule="auto"/>
        <w:tabs>
          <w:tab w:leader="none" w:pos="1893"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The Borrower shall provide the applicable Extension Request to the Administrative Agent at least five (5) Business Days (or such shorter period as the Administrative Agent may determine in its sole discretion) prior to the date on which Lenders under the applicable Existing Term Loan Class or Existing Revolving Class, as applicable, are requested to respond. Any such Lender holding a Term Loan under an Existing Term Loan Class (each, an “</w:t>
      </w:r>
      <w:r>
        <w:rPr>
          <w:rFonts w:ascii="Times New Roman" w:cs="Times New Roman" w:eastAsia="Times New Roman" w:hAnsi="Times New Roman"/>
          <w:sz w:val="20"/>
          <w:szCs w:val="20"/>
          <w:b w:val="1"/>
          <w:bCs w:val="1"/>
          <w:color w:val="auto"/>
        </w:rPr>
        <w:t>Extending Term Lender</w:t>
      </w:r>
      <w:r>
        <w:rPr>
          <w:rFonts w:ascii="Times New Roman" w:cs="Times New Roman" w:eastAsia="Times New Roman" w:hAnsi="Times New Roman"/>
          <w:sz w:val="20"/>
          <w:szCs w:val="20"/>
          <w:color w:val="auto"/>
        </w:rPr>
        <w:t>”) that has received an Extension Request and wishes to have all or a portion of its Term Loans of an Existing Term Loan Class or Existing Term Loan Classes, as applicable, subject to such Extension Request converted or exchanged into Extended Term Loans, and any such Revolving Lender with a Revolving Commitment under an Existing Revolving Class (each, an “</w:t>
      </w:r>
      <w:r>
        <w:rPr>
          <w:rFonts w:ascii="Times New Roman" w:cs="Times New Roman" w:eastAsia="Times New Roman" w:hAnsi="Times New Roman"/>
          <w:sz w:val="20"/>
          <w:szCs w:val="20"/>
          <w:b w:val="1"/>
          <w:bCs w:val="1"/>
          <w:color w:val="auto"/>
        </w:rPr>
        <w:t>Extending Revolving Lender</w:t>
      </w:r>
      <w:r>
        <w:rPr>
          <w:rFonts w:ascii="Times New Roman" w:cs="Times New Roman" w:eastAsia="Times New Roman" w:hAnsi="Times New Roman"/>
          <w:sz w:val="20"/>
          <w:szCs w:val="20"/>
          <w:color w:val="auto"/>
        </w:rPr>
        <w:t>”) that has received an Extension Request and wishes to have all or a portion of its Revolving Commitments of an Existing Revolving Class or Existing Revolving Classes, as applicable, subject to such Extension Request converted or exchanged into Extended Revolving Commitments, as applicable, shall notify the Administrative Agent (each, an “</w:t>
      </w:r>
      <w:r>
        <w:rPr>
          <w:rFonts w:ascii="Times New Roman" w:cs="Times New Roman" w:eastAsia="Times New Roman" w:hAnsi="Times New Roman"/>
          <w:sz w:val="20"/>
          <w:szCs w:val="20"/>
          <w:b w:val="1"/>
          <w:bCs w:val="1"/>
          <w:color w:val="auto"/>
        </w:rPr>
        <w:t>Extension Election</w:t>
      </w:r>
      <w:r>
        <w:rPr>
          <w:rFonts w:ascii="Times New Roman" w:cs="Times New Roman" w:eastAsia="Times New Roman" w:hAnsi="Times New Roman"/>
          <w:sz w:val="20"/>
          <w:szCs w:val="20"/>
          <w:color w:val="auto"/>
        </w:rPr>
        <w:t>”) on or prior to the date specified in such Extension Request of the amount of its Term Loans or Revolving Commitments, as applicable, which it has elected to convert or exchange into Extended Term Loans or Extended Revolving Commitments, as applicable. In the event that the aggregate principal amount of Term Loans and/or Revolving Commitments, as applicable, subject to Extension Elections exceeds the amount of Extended Term Loans and/or Extended Revolving Commitments, respectively, requested pursuant to the Extension Request, Term Loans and/or Revolving Commitments, as applicable, subject to Extension Elections shall be converted or exchanged into Extended Term Loans and/or Revolving Commitments, respectively, as directed by the Borrower.</w:t>
      </w:r>
    </w:p>
    <w:p>
      <w:pPr>
        <w:spacing w:after="0" w:line="193" w:lineRule="exact"/>
        <w:rPr>
          <w:rFonts w:ascii="Times New Roman" w:cs="Times New Roman" w:eastAsia="Times New Roman" w:hAnsi="Times New Roman"/>
          <w:sz w:val="20"/>
          <w:szCs w:val="20"/>
          <w:color w:val="auto"/>
        </w:rPr>
      </w:pPr>
    </w:p>
    <w:p>
      <w:pPr>
        <w:ind w:firstLine="1505"/>
        <w:spacing w:after="0" w:line="243" w:lineRule="auto"/>
        <w:tabs>
          <w:tab w:leader="none" w:pos="1893"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Extended Term Loans and Extended Revolving Commitments shall be established pursuant to an amendment (each, an “</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xml:space="preserve">”) to this Agreement (which, notwithstanding anything to the contrary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shall not require the consent of any Lender other than the Extending Lenders with respect to the Extended Term Loans and/or Extended Revolving Commitments established thereby, as the case may be) executed by the Borrower, the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(b) with respect to any extension of the Revolving Commitments that results in an extension of Issuing Bank’s obligations with respect to Letters of Credit, the consent of such Issuing Bank and (c) with respect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20"/>
          <w:szCs w:val="20"/>
          <w:color w:val="auto"/>
        </w:rPr>
        <w:t xml:space="preserve">to any extension of the Revolving Commitments that results in an extension of Swing Line Lender’s obligations with respect to Swing Line Loans, the consent of such Swing Line Lender. Each request for an Extension Series of Extended Term Loans or Extended Revolving Commitments proposed to be incurred under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be in an aggregate principal amount that is not less than $5,000,000 (it being understood that the actual principal amount thereof provided by the applicable Lenders may be lower than such minimum amount), and the Borrower may condition the effectiveness of any Extension Amendment on an Extension Minimum Condition, which may be waived by the Borrower in its sole discretion. In addition to any terms and changes required or permitted by </w:t>
      </w:r>
      <w:r>
        <w:rPr>
          <w:rFonts w:ascii="Times New Roman" w:cs="Times New Roman" w:eastAsia="Times New Roman" w:hAnsi="Times New Roman"/>
          <w:sz w:val="20"/>
          <w:szCs w:val="20"/>
          <w:u w:val="single" w:color="auto"/>
          <w:color w:val="auto"/>
        </w:rPr>
        <w:t>Sections 2.16(1)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2.16(2)</w:t>
      </w:r>
      <w:r>
        <w:rPr>
          <w:rFonts w:ascii="Times New Roman" w:cs="Times New Roman" w:eastAsia="Times New Roman" w:hAnsi="Times New Roman"/>
          <w:sz w:val="20"/>
          <w:szCs w:val="20"/>
          <w:color w:val="auto"/>
        </w:rPr>
        <w:t xml:space="preserve">, each of the parties hereto agrees that this Agreement and the other Loan Documents may be amended pursuant to an Extension Amendment, without the consent of any other Lenders, to the extent necessary to (a) in respect of each Extension Amendment in respect of Extended Term Loans, amend the scheduled amortization payments pursuant to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or the applicable Incremental Amendment, Extension Amendment, Refinancing Amendment or other amendment, as the case may be, with respect to the Existing Term Loan Class from which the Extended Term Loans were exchanged to reduce each scheduled repayment amount for the Existing Term Loan Class in the same proportion as the amount of Term Loans of the Existing Term Loan Class is to be reduced pursuant to such Extension Amendment (it being understood that the amount of any repayment amount payable with respect to any individual Term Loan of such Existing Term Loan Class that is not an Extended Term Loan shall not be reduced as a result thereof), (b) reflect the existence and terms of the Extended Term Loans or Extended Revolving Commitments, as applicable, incurred pursuant thereto and (c) modify the prepayments set forth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to reflect the existence of the Extended Term Loans and the application of prepayments with respect thereto. Notwithstanding anything to the contrary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 each Extension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including to effect technical and corresponding amendments to this Agreement and the other Loan Documents and (b) at the option of the Borrower in consultation with the Administrative Agent, incorporate terms that would be favorable to existing Lenders of the applicable Class or Classes for the benefit of such existing Lenders of the applicable Class or Classes, in each case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so long as the Administrative Agent reasonably agrees that such modification is favorable to the applicable Lenders. In connection with any Extension Amendment, the Borrower shall, if reasonably requested by the Administrative Agent, deliver customary reaffirmation agreements and/or such amendments to the Collateral Documents as may be reasonably requested by the Administrative Agent in order to ensure that such Extended Term Loans and/or Extended Revolving Commitments are provided with the benefit of the applicable Loan Documents.</w:t>
      </w:r>
    </w:p>
    <w:p>
      <w:pPr>
        <w:spacing w:after="0" w:line="204" w:lineRule="exact"/>
        <w:rPr>
          <w:sz w:val="20"/>
          <w:szCs w:val="20"/>
          <w:color w:val="auto"/>
        </w:rPr>
      </w:pPr>
    </w:p>
    <w:p>
      <w:pPr>
        <w:ind w:firstLine="1505"/>
        <w:spacing w:after="0" w:line="242" w:lineRule="auto"/>
        <w:tabs>
          <w:tab w:leader="none" w:pos="1893"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on any date on which any Existing Term Loan Class and/or Existing Revolving Class is converted or exchanged to extend the related scheduled maturity date(s) in accordance with paragraphs (1) and (2)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in the case of the existing Term Loans or Revolving Commitments, as applicable, of each Extending Lender, the aggregate principal amount of such existing Loans shall be deemed reduced by an amount equal to the aggregate principal amount of Extended Term Loans and/or Extended Revolving Commitments, respectively, so converted or exchanged by such Lender on such date, and the Extended Term Loans and/or Extended Revolving Commitments shall be established as a separate Class of Loans, except as otherwise provided under </w:t>
      </w:r>
      <w:r>
        <w:rPr>
          <w:rFonts w:ascii="Times New Roman" w:cs="Times New Roman" w:eastAsia="Times New Roman" w:hAnsi="Times New Roman"/>
          <w:sz w:val="20"/>
          <w:szCs w:val="20"/>
          <w:u w:val="single" w:color="auto"/>
          <w:color w:val="auto"/>
        </w:rPr>
        <w:t>Sections 2.16(1)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Subject to the provisions of Section </w:t>
      </w:r>
      <w:r>
        <w:rPr>
          <w:rFonts w:ascii="Times New Roman" w:cs="Times New Roman" w:eastAsia="Times New Roman" w:hAnsi="Times New Roman"/>
          <w:sz w:val="20"/>
          <w:szCs w:val="20"/>
          <w:u w:val="single" w:color="auto"/>
          <w:color w:val="auto"/>
        </w:rPr>
        <w:t>2.03(12)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2.04(7)</w:t>
      </w:r>
      <w:r>
        <w:rPr>
          <w:rFonts w:ascii="Times New Roman" w:cs="Times New Roman" w:eastAsia="Times New Roman" w:hAnsi="Times New Roman"/>
          <w:sz w:val="20"/>
          <w:szCs w:val="20"/>
          <w:color w:val="auto"/>
        </w:rPr>
        <w:t xml:space="preserve"> in connection with Letters of Credit and Swing Line Loans, respectively, which mature or expire after a Maturity Date at any time Extended Revolving Commitments with a later Maturity Date are outstanding, all Letters of Credit and Swing Line Loans shall be participated on a pro rata basis by each Lender with a Revolving Commitment in accordance with its percentage of the Revolving Commitments existing on the date of the Extension of such Extended Revolving Commitments (and except as provided in </w:t>
      </w:r>
      <w:r>
        <w:rPr>
          <w:rFonts w:ascii="Times New Roman" w:cs="Times New Roman" w:eastAsia="Times New Roman" w:hAnsi="Times New Roman"/>
          <w:sz w:val="20"/>
          <w:szCs w:val="20"/>
          <w:u w:val="single" w:color="auto"/>
          <w:color w:val="auto"/>
        </w:rPr>
        <w:t>Section 2.03(12)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2.04(7)</w:t>
      </w:r>
      <w:r>
        <w:rPr>
          <w:rFonts w:ascii="Times New Roman" w:cs="Times New Roman" w:eastAsia="Times New Roman" w:hAnsi="Times New Roman"/>
          <w:sz w:val="20"/>
          <w:szCs w:val="20"/>
          <w:color w:val="auto"/>
        </w:rPr>
        <w:t>, without giving effect to changes thereto</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0"/>
          <w:szCs w:val="20"/>
          <w:color w:val="auto"/>
        </w:rPr>
        <w:t>on an earlier Maturity Date with respect to Letters of Credit and Swing Line Loans theretofore incurred or issued).</w:t>
      </w:r>
    </w:p>
    <w:p>
      <w:pPr>
        <w:spacing w:after="0" w:line="216" w:lineRule="exact"/>
        <w:rPr>
          <w:sz w:val="20"/>
          <w:szCs w:val="20"/>
          <w:color w:val="auto"/>
        </w:rPr>
      </w:pPr>
    </w:p>
    <w:p>
      <w:pPr>
        <w:ind w:right="80" w:firstLine="1505"/>
        <w:spacing w:after="0" w:line="241" w:lineRule="auto"/>
        <w:tabs>
          <w:tab w:leader="none" w:pos="1893"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determines in its sole discretion that the allocation of Extended Term Loans and/or Extended Revolving Commitments of a given Extension Series to a given Lender was incorrectly determined as a result of manifest administrative error in the receipt and processing of an Extension Election timely submitted by such Lender in accordance with the procedures set forth in the applicable Extension Amendment, then the Administrative Agent, the Borrower and such affected Lender may (and hereby are authorized to), in their sole discretion and without the consent of any other Lender, enter into an amendment to this Agreement and the other Loan Documents (each, a “</w:t>
      </w:r>
      <w:r>
        <w:rPr>
          <w:rFonts w:ascii="Times New Roman" w:cs="Times New Roman" w:eastAsia="Times New Roman" w:hAnsi="Times New Roman"/>
          <w:sz w:val="20"/>
          <w:szCs w:val="20"/>
          <w:b w:val="1"/>
          <w:bCs w:val="1"/>
          <w:color w:val="auto"/>
        </w:rPr>
        <w:t>Corrective Extension Amendment</w:t>
      </w:r>
      <w:r>
        <w:rPr>
          <w:rFonts w:ascii="Times New Roman" w:cs="Times New Roman" w:eastAsia="Times New Roman" w:hAnsi="Times New Roman"/>
          <w:sz w:val="20"/>
          <w:szCs w:val="20"/>
          <w:color w:val="auto"/>
        </w:rPr>
        <w:t xml:space="preserve">”) within 15 days following the effective date of such Extension Amendment, as the case may be, which Corrective Extension Amendment shall (a) provide for the conversion or exchange and extension of Term Loans under the Existing Term Loan Class, or of Revolving Commitments under the Existing Revolving Class, in either case, in such amount as is required to cause such Lender to hold Extended Term Loans or Extended Revolving Commitments, as applicable, of the applicable Extension Series into which such other Term Loans or Revolving Commitments were initially converted or exchanged, as the case may be, in the amount such Lender would have held had such administrative error not occurred and had such Lender received the minimum allocation of the applicable Loans or Commitments to which it was entitled under the terms of such Extension Amendment, in the absence of such error, (b) be subject to the satisfaction of such conditions as the Administrative Agent, the Borrower and such Extending Term Lender or Extending Revolving Lender, as applicable, may agree and (c) effect such other amendments of the type (with appropriate reference and nomenclature changes) described in the penultimate sentence of </w:t>
      </w:r>
      <w:r>
        <w:rPr>
          <w:rFonts w:ascii="Times New Roman" w:cs="Times New Roman" w:eastAsia="Times New Roman" w:hAnsi="Times New Roman"/>
          <w:sz w:val="20"/>
          <w:szCs w:val="20"/>
          <w:u w:val="single" w:color="auto"/>
          <w:color w:val="auto"/>
        </w:rPr>
        <w:t>Section 2.16(4)</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conversion or exchange of Loans or Commitments pursuant to any Extension Amendment in accordance with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constitute a voluntary or mandatory payment or prepayment for purposes of this Agreement.</w:t>
      </w:r>
    </w:p>
    <w:p>
      <w:pPr>
        <w:spacing w:after="0" w:line="159" w:lineRule="exact"/>
        <w:rPr>
          <w:rFonts w:ascii="Times New Roman" w:cs="Times New Roman" w:eastAsia="Times New Roman" w:hAnsi="Times New Roman"/>
          <w:sz w:val="20"/>
          <w:szCs w:val="20"/>
          <w:color w:val="auto"/>
        </w:rPr>
      </w:pPr>
    </w:p>
    <w:p>
      <w:pPr>
        <w:ind w:right="80" w:firstLine="1505"/>
        <w:spacing w:after="0" w:line="254" w:lineRule="auto"/>
        <w:tabs>
          <w:tab w:leader="none" w:pos="1893"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 For the avoidance of doubt, any of the provisions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may be amended with the consent of the Required Lenders (or the applicable Required Facility Lenders, if applicable).</w:t>
      </w:r>
    </w:p>
    <w:p>
      <w:pPr>
        <w:spacing w:after="0" w:line="17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2.17</w:t>
      </w:r>
      <w:r>
        <w:rPr>
          <w:sz w:val="20"/>
          <w:szCs w:val="20"/>
          <w:color w:val="auto"/>
        </w:rPr>
        <w:tab/>
      </w:r>
      <w:r>
        <w:rPr>
          <w:rFonts w:ascii="Times New Roman" w:cs="Times New Roman" w:eastAsia="Times New Roman" w:hAnsi="Times New Roman"/>
          <w:sz w:val="19"/>
          <w:szCs w:val="19"/>
          <w:color w:val="auto"/>
        </w:rPr>
        <w:t>Defaulting Lenders.</w:t>
      </w:r>
    </w:p>
    <w:p>
      <w:pPr>
        <w:spacing w:after="0" w:line="216" w:lineRule="exact"/>
        <w:rPr>
          <w:sz w:val="20"/>
          <w:szCs w:val="20"/>
          <w:color w:val="auto"/>
        </w:rPr>
      </w:pPr>
    </w:p>
    <w:p>
      <w:pPr>
        <w:ind w:right="580" w:firstLine="1505"/>
        <w:spacing w:after="0" w:line="295" w:lineRule="auto"/>
        <w:tabs>
          <w:tab w:leader="none" w:pos="1893"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37" w:lineRule="exact"/>
        <w:rPr>
          <w:rFonts w:ascii="Times New Roman" w:cs="Times New Roman" w:eastAsia="Times New Roman" w:hAnsi="Times New Roman"/>
          <w:sz w:val="19"/>
          <w:szCs w:val="19"/>
          <w:color w:val="auto"/>
        </w:rPr>
      </w:pPr>
    </w:p>
    <w:p>
      <w:pPr>
        <w:ind w:right="80" w:firstLine="1880"/>
        <w:spacing w:after="0" w:line="269" w:lineRule="auto"/>
        <w:tabs>
          <w:tab w:leader="none" w:pos="2268"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That Defaulting Lender’s right to approve or disapprove of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1880"/>
        <w:spacing w:after="0" w:line="244" w:lineRule="auto"/>
        <w:tabs>
          <w:tab w:leader="none" w:pos="2268"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Payments</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otherwise),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that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that Defaulting Lender to the relevant Issuing Banks or Swing 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if so determined by the Administrative Agent or requested by the relevant Issuing Banks or Swing Line Lender, to be held as Cash Collateral for future funding obligations of that Defaulting Lender of any participation in any Letter of Credit or Swing Line Loan;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as the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60" w:name="page261"/>
    <w:bookmarkEnd w:id="260"/>
    <w:p>
      <w:pPr>
        <w:spacing w:after="0" w:line="241" w:lineRule="auto"/>
        <w:rPr>
          <w:sz w:val="20"/>
          <w:szCs w:val="20"/>
          <w:color w:val="auto"/>
        </w:rPr>
      </w:pPr>
      <w:r>
        <w:rPr>
          <w:rFonts w:ascii="Times New Roman" w:cs="Times New Roman" w:eastAsia="Times New Roman" w:hAnsi="Times New Roman"/>
          <w:sz w:val="20"/>
          <w:szCs w:val="20"/>
          <w:color w:val="auto"/>
        </w:rPr>
        <w:t xml:space="preserve">Borrower may request (so long as no Default has occurred and is continuing),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or the relevant Issuing Banks or Swing Line Lender as a result of any judgment of a court of competent jurisdiction obtained by any Lender or the relevant Issuing Banks against that Defaulting Lender as a result of that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Event of Default has occurred and is continuing,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that Defaulting Lender or as otherwise directed by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(i) such payment is a payment of the principal amount of any Loans or L/C Borrowings in respect of which that Defaulting Lender has not fully funded its appropriate share and (ii) such Loans or L/C Borrowings were made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2.17(1)(b)</w:t>
      </w:r>
      <w:r>
        <w:rPr>
          <w:rFonts w:ascii="Times New Roman" w:cs="Times New Roman" w:eastAsia="Times New Roman" w:hAnsi="Times New Roman"/>
          <w:sz w:val="20"/>
          <w:szCs w:val="20"/>
          <w:color w:val="auto"/>
        </w:rPr>
        <w:t xml:space="preserve"> shall be deemed paid to and redirected by that Defaulting Lender, and each Lender irrevocably consents hereto.</w:t>
      </w:r>
    </w:p>
    <w:p>
      <w:pPr>
        <w:spacing w:after="0" w:line="193" w:lineRule="exact"/>
        <w:rPr>
          <w:sz w:val="20"/>
          <w:szCs w:val="20"/>
          <w:color w:val="auto"/>
        </w:rPr>
      </w:pPr>
    </w:p>
    <w:p>
      <w:pPr>
        <w:ind w:right="40" w:firstLine="1880"/>
        <w:spacing w:after="0" w:line="249" w:lineRule="auto"/>
        <w:tabs>
          <w:tab w:leader="none" w:pos="226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 xml:space="preserve">. That Defaulting Lender (i) shall not be entitled to receive any commitment fee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2.09(1)</w:t>
      </w:r>
      <w:r>
        <w:rPr>
          <w:rFonts w:ascii="Times New Roman" w:cs="Times New Roman" w:eastAsia="Times New Roman" w:hAnsi="Times New Roman"/>
          <w:sz w:val="20"/>
          <w:szCs w:val="20"/>
          <w:color w:val="auto"/>
        </w:rPr>
        <w:t xml:space="preserve"> for any period during which that Lender is a Defaulting Lender (and the Borrower shall not be required to pay any such fee that otherwise would have been required to have been paid to that Defaulting Lender) and (ii) shall be limited in its right to receive Letter of Credit fees as provided in </w:t>
      </w:r>
      <w:r>
        <w:rPr>
          <w:rFonts w:ascii="Times New Roman" w:cs="Times New Roman" w:eastAsia="Times New Roman" w:hAnsi="Times New Roman"/>
          <w:sz w:val="20"/>
          <w:szCs w:val="20"/>
          <w:u w:val="single" w:color="auto"/>
          <w:color w:val="auto"/>
        </w:rPr>
        <w:t>Section 2.03(8)</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right="120" w:firstLine="1880"/>
        <w:spacing w:after="0" w:line="259" w:lineRule="auto"/>
        <w:tabs>
          <w:tab w:leader="none" w:pos="2268"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Applicable Percentages to Reduce Fronting Exposure</w:t>
      </w:r>
      <w:r>
        <w:rPr>
          <w:rFonts w:ascii="Times New Roman" w:cs="Times New Roman" w:eastAsia="Times New Roman" w:hAnsi="Times New Roman"/>
          <w:sz w:val="19"/>
          <w:szCs w:val="19"/>
          <w:color w:val="auto"/>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respectively, the “Applicable Percentage” of each Non-Defaulting Lender’s Revolving Loans and L/C Obligations shall be computed without giving effect to the Commitment of that Defaulting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aggregate obligation of each Non-Defaulting Lender to acquire, refinance or fund participations in Letters of Credit or Swing Line Loans shall not exceed the positive difference, if any, of (i) the Revolving Commitment of that Non-Defaulting Lender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(ii) the aggregate Outstanding Amount of the Revolving Loans of that Non-Defaulting Lender.</w:t>
      </w:r>
    </w:p>
    <w:p>
      <w:pPr>
        <w:spacing w:after="0" w:line="172" w:lineRule="exact"/>
        <w:rPr>
          <w:rFonts w:ascii="Times New Roman" w:cs="Times New Roman" w:eastAsia="Times New Roman" w:hAnsi="Times New Roman"/>
          <w:sz w:val="19"/>
          <w:szCs w:val="19"/>
          <w:color w:val="auto"/>
        </w:rPr>
      </w:pPr>
    </w:p>
    <w:p>
      <w:pPr>
        <w:ind w:firstLine="1880"/>
        <w:spacing w:after="0" w:line="244" w:lineRule="auto"/>
        <w:tabs>
          <w:tab w:leader="none" w:pos="2663"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Unused Fee Allocation</w:t>
      </w:r>
      <w:r>
        <w:rPr>
          <w:rFonts w:ascii="Times New Roman" w:cs="Times New Roman" w:eastAsia="Times New Roman" w:hAnsi="Times New Roman"/>
          <w:sz w:val="20"/>
          <w:szCs w:val="20"/>
          <w:color w:val="auto"/>
        </w:rPr>
        <w:t xml:space="preserve">. If all or any portion of such Defaulting Lender’s participation in L/C Obligations is neither reallocated nor cash collateralized pursuant to clause (d) above, then, without prejudice to any rights or remedies of the Administrative Agent, the Issuing Bank or any other Lender hereunder, all unused line fees that otherwise would have been payable to such Defaulting Lender (solely with respect to such Defaulting Lender’s Pro Rata Share of its Revolving Commitment that was utilized for such L/C Obligations) and letter of credit fees payable under </w:t>
      </w:r>
      <w:r>
        <w:rPr>
          <w:rFonts w:ascii="Times New Roman" w:cs="Times New Roman" w:eastAsia="Times New Roman" w:hAnsi="Times New Roman"/>
          <w:sz w:val="20"/>
          <w:szCs w:val="20"/>
          <w:u w:val="single" w:color="auto"/>
          <w:color w:val="auto"/>
        </w:rPr>
        <w:t>Section 2.03(8)</w:t>
      </w:r>
      <w:r>
        <w:rPr>
          <w:rFonts w:ascii="Times New Roman" w:cs="Times New Roman" w:eastAsia="Times New Roman" w:hAnsi="Times New Roman"/>
          <w:sz w:val="20"/>
          <w:szCs w:val="20"/>
          <w:color w:val="auto"/>
        </w:rPr>
        <w:t xml:space="preserve"> with respect to such Defaulting Lender’s Pro Rata Share of the L/C Obligations shall be payable to the applicable Issuing Bank until and to the extent that such Defaulting Lender’s Pro Rata Share of the L/C Obligations is reallocated and/or cash collateralized.</w:t>
      </w:r>
    </w:p>
    <w:p>
      <w:pPr>
        <w:spacing w:after="0" w:line="185" w:lineRule="exact"/>
        <w:rPr>
          <w:rFonts w:ascii="Times New Roman" w:cs="Times New Roman" w:eastAsia="Times New Roman" w:hAnsi="Times New Roman"/>
          <w:sz w:val="20"/>
          <w:szCs w:val="20"/>
          <w:color w:val="auto"/>
        </w:rPr>
      </w:pPr>
    </w:p>
    <w:p>
      <w:pPr>
        <w:ind w:right="60" w:firstLine="1880"/>
        <w:spacing w:after="0" w:line="269" w:lineRule="auto"/>
        <w:tabs>
          <w:tab w:leader="none" w:pos="226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 to Issue Letters of Credit</w:t>
      </w:r>
      <w:r>
        <w:rPr>
          <w:rFonts w:ascii="Times New Roman" w:cs="Times New Roman" w:eastAsia="Times New Roman" w:hAnsi="Times New Roman"/>
          <w:sz w:val="20"/>
          <w:szCs w:val="20"/>
          <w:color w:val="auto"/>
        </w:rPr>
        <w:t>. So long as any Lender that holds a participation in any L/C Obligation is a Defaulting Lender, neither the Administrative Agent nor 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1" w:name="page262"/>
    <w:bookmarkEnd w:id="261"/>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Issuing Bank shall be required to issue, amend or increase any Letter of Credit, unless it is satisfied that the related exposure and the Defaulted Lender’s Pro Rata Share of the then outstanding participation in L/C Obligations will be one hundred percent (100%) covered by the Revolving Commitments of the Non-Defaulting Lenders and/or cash collateral will be provided by the Borrower, all in accordance with and as set forth in this </w:t>
      </w:r>
      <w:r>
        <w:rPr>
          <w:rFonts w:ascii="Times New Roman" w:cs="Times New Roman" w:eastAsia="Times New Roman" w:hAnsi="Times New Roman"/>
          <w:sz w:val="20"/>
          <w:szCs w:val="20"/>
          <w:u w:val="single" w:color="auto"/>
          <w:color w:val="auto"/>
        </w:rPr>
        <w:t>Section 2.17(1)(f)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2.03(7)</w:t>
      </w:r>
      <w:r>
        <w:rPr>
          <w:rFonts w:ascii="Times New Roman" w:cs="Times New Roman" w:eastAsia="Times New Roman" w:hAnsi="Times New Roman"/>
          <w:sz w:val="20"/>
          <w:szCs w:val="20"/>
          <w:color w:val="auto"/>
        </w:rPr>
        <w:t xml:space="preserve">, and participating interests in any newly issued or increased Letter of Credit shall be allocated among Non-Defaulting Lenders in a manner consistent with this </w:t>
      </w:r>
      <w:r>
        <w:rPr>
          <w:rFonts w:ascii="Times New Roman" w:cs="Times New Roman" w:eastAsia="Times New Roman" w:hAnsi="Times New Roman"/>
          <w:sz w:val="20"/>
          <w:szCs w:val="20"/>
          <w:u w:val="single" w:color="auto"/>
          <w:color w:val="auto"/>
        </w:rPr>
        <w:t>Section 2.17(1)</w:t>
      </w:r>
      <w:r>
        <w:rPr>
          <w:rFonts w:ascii="Times New Roman" w:cs="Times New Roman" w:eastAsia="Times New Roman" w:hAnsi="Times New Roman"/>
          <w:sz w:val="20"/>
          <w:szCs w:val="20"/>
          <w:color w:val="auto"/>
        </w:rPr>
        <w:t xml:space="preserve"> (and such Defaulting Lender shall not participate therein).</w:t>
      </w:r>
    </w:p>
    <w:p>
      <w:pPr>
        <w:spacing w:after="0" w:line="184" w:lineRule="exact"/>
        <w:rPr>
          <w:sz w:val="20"/>
          <w:szCs w:val="20"/>
          <w:color w:val="auto"/>
        </w:rPr>
      </w:pPr>
    </w:p>
    <w:p>
      <w:pPr>
        <w:ind w:right="100" w:firstLine="1505"/>
        <w:spacing w:after="0" w:line="242" w:lineRule="auto"/>
        <w:tabs>
          <w:tab w:leader="none" w:pos="1893"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 Line Lender and the Issuing Banks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20"/>
          <w:szCs w:val="20"/>
          <w:u w:val="single" w:color="auto"/>
          <w:color w:val="auto"/>
        </w:rPr>
        <w:t>Section 2.17(1)(d)</w:t>
      </w:r>
      <w:r>
        <w:rPr>
          <w:rFonts w:ascii="Times New Roman" w:cs="Times New Roman" w:eastAsia="Times New Roman" w:hAnsi="Times New Roman"/>
          <w:sz w:val="20"/>
          <w:szCs w:val="20"/>
          <w:color w:val="auto"/>
        </w:rPr>
        <w:t xml:space="preserve">), whereupon that Lender will cease to be a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Taxes, Increased Costs Protection and Illegality</w:t>
      </w:r>
    </w:p>
    <w:p>
      <w:pPr>
        <w:spacing w:after="0" w:line="22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3.01</w:t>
      </w:r>
      <w:r>
        <w:rPr>
          <w:sz w:val="20"/>
          <w:szCs w:val="20"/>
          <w:color w:val="auto"/>
        </w:rPr>
        <w:tab/>
      </w:r>
      <w:r>
        <w:rPr>
          <w:rFonts w:ascii="Times New Roman" w:cs="Times New Roman" w:eastAsia="Times New Roman" w:hAnsi="Times New Roman"/>
          <w:sz w:val="20"/>
          <w:szCs w:val="20"/>
          <w:color w:val="auto"/>
        </w:rPr>
        <w:t>Taxes.</w:t>
      </w:r>
    </w:p>
    <w:p>
      <w:pPr>
        <w:spacing w:after="0" w:line="216" w:lineRule="exact"/>
        <w:rPr>
          <w:sz w:val="20"/>
          <w:szCs w:val="20"/>
          <w:color w:val="auto"/>
        </w:rPr>
      </w:pPr>
    </w:p>
    <w:p>
      <w:pPr>
        <w:ind w:right="200" w:firstLine="1505"/>
        <w:spacing w:after="0" w:line="269" w:lineRule="auto"/>
        <w:tabs>
          <w:tab w:leader="none" w:pos="1893"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applicable Law, all payments by or on account of any Loan Party to or for the account of any Agent or any Lender under any Loan Document shall be made free and clear of and without deduction or withholding for any Taxes.</w:t>
      </w:r>
    </w:p>
    <w:p>
      <w:pPr>
        <w:spacing w:after="0" w:line="159" w:lineRule="exact"/>
        <w:rPr>
          <w:rFonts w:ascii="Times New Roman" w:cs="Times New Roman" w:eastAsia="Times New Roman" w:hAnsi="Times New Roman"/>
          <w:sz w:val="20"/>
          <w:szCs w:val="20"/>
          <w:color w:val="auto"/>
        </w:rPr>
      </w:pPr>
    </w:p>
    <w:p>
      <w:pPr>
        <w:ind w:firstLine="1505"/>
        <w:spacing w:after="0" w:line="254" w:lineRule="auto"/>
        <w:tabs>
          <w:tab w:leader="none" w:pos="1893"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Loan Party or any other applicable withholding agent is required by applicable Law to make any deduction or withholding on account of any Taxes from any sum paid or payable by or on account of any Loan Party to or for the account of any Lender or Agent under any of the Loan Documents:</w:t>
      </w:r>
    </w:p>
    <w:p>
      <w:pPr>
        <w:spacing w:after="0" w:line="174" w:lineRule="exact"/>
        <w:rPr>
          <w:rFonts w:ascii="Times New Roman" w:cs="Times New Roman" w:eastAsia="Times New Roman" w:hAnsi="Times New Roman"/>
          <w:sz w:val="20"/>
          <w:szCs w:val="20"/>
          <w:color w:val="auto"/>
        </w:rPr>
      </w:pPr>
    </w:p>
    <w:p>
      <w:pPr>
        <w:ind w:right="60" w:firstLine="1880"/>
        <w:spacing w:after="0" w:line="249" w:lineRule="auto"/>
        <w:tabs>
          <w:tab w:leader="none" w:pos="2268"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Loan Party or other applicable withholding agent shall make such deduction or withholding and pay to the relevant Governmental Authority any such Tax before the date on which penalties attach thereto, such payment to be made (if the liability to pay is imposed on any Loan Party) for such Loan Party’s account or (if that liability is imposed on the Lender or Agent) on behalf of and in the name of the Lender or Agent (as applicable);</w:t>
      </w:r>
    </w:p>
    <w:p>
      <w:pPr>
        <w:spacing w:after="0" w:line="179" w:lineRule="exact"/>
        <w:rPr>
          <w:rFonts w:ascii="Times New Roman" w:cs="Times New Roman" w:eastAsia="Times New Roman" w:hAnsi="Times New Roman"/>
          <w:sz w:val="20"/>
          <w:szCs w:val="20"/>
          <w:color w:val="auto"/>
        </w:rPr>
      </w:pPr>
    </w:p>
    <w:p>
      <w:pPr>
        <w:ind w:right="260" w:firstLine="1880"/>
        <w:spacing w:after="0" w:line="249" w:lineRule="auto"/>
        <w:tabs>
          <w:tab w:leader="none" w:pos="2268"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Tax is a Non-Excluded Tax or Other Tax, the sum payable by any Loan Party to such Lender or Agent (as applicable) shall be increased by such Loan Party to the extent necessary to ensure that, after the making of any required deduction or withholding for Non-Excluded Taxes or Other Taxes (including any deductions or withholdings for Non-Excluded Taxes or Other Taxes attributable to any payments required to be made under this Section 3.01), such Lender receives on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20"/>
          <w:szCs w:val="20"/>
          <w:color w:val="auto"/>
        </w:rPr>
        <w:t>due date a net sum equal to what it would have received had no such deduction or withholding been required or made; and</w:t>
      </w:r>
    </w:p>
    <w:p>
      <w:pPr>
        <w:spacing w:after="0" w:line="216" w:lineRule="exact"/>
        <w:rPr>
          <w:sz w:val="20"/>
          <w:szCs w:val="20"/>
          <w:color w:val="auto"/>
        </w:rPr>
      </w:pPr>
    </w:p>
    <w:p>
      <w:pPr>
        <w:ind w:right="60" w:firstLine="1880"/>
        <w:spacing w:after="0" w:line="246" w:lineRule="auto"/>
        <w:tabs>
          <w:tab w:leader="none" w:pos="2268"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reasonably practicable, after any payment of Taxes by the applicable Loan Party or other applicable withholding agent to a Governmental Authority pursuant to this Section 3.01, the Borrower shall deliver to the Administrative Agent the original or a certified copy of a receipt issued by such Governmental Authority evidencing such payment, a copy of the return reporting such payment or other evidence reasonably satisfactory to the Administrative Agent of such deduction or withholding and of the remittance thereof to the relevant Governmental Authority.</w:t>
      </w:r>
    </w:p>
    <w:p>
      <w:pPr>
        <w:spacing w:after="0" w:line="184" w:lineRule="exact"/>
        <w:rPr>
          <w:rFonts w:ascii="Times New Roman" w:cs="Times New Roman" w:eastAsia="Times New Roman" w:hAnsi="Times New Roman"/>
          <w:sz w:val="20"/>
          <w:szCs w:val="20"/>
          <w:color w:val="auto"/>
        </w:rPr>
      </w:pPr>
    </w:p>
    <w:p>
      <w:pPr>
        <w:ind w:firstLine="1505"/>
        <w:spacing w:after="0" w:line="242" w:lineRule="auto"/>
        <w:tabs>
          <w:tab w:leader="none" w:pos="1893"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w:t>
      </w:r>
      <w:r>
        <w:rPr>
          <w:rFonts w:ascii="Times New Roman" w:cs="Times New Roman" w:eastAsia="Times New Roman" w:hAnsi="Times New Roman"/>
          <w:sz w:val="20"/>
          <w:szCs w:val="20"/>
          <w:color w:val="auto"/>
        </w:rPr>
        <w:t xml:space="preserve">. Each Lender shall, at such times as are reasonably requested by the Borrower or the Administrative Agent, provide the Borrower and the Administrative Agent with any documentation prescribed by Laws or reasonably requested by the Borrower or the Administrative Agent certifying as to any entitlement of such Lender to an exemption from, or reduction in, withholding tax with respect to any payments to be made to such Lender under any Loan Document.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specific documentation required below in this </w:t>
      </w:r>
      <w:r>
        <w:rPr>
          <w:rFonts w:ascii="Times New Roman" w:cs="Times New Roman" w:eastAsia="Times New Roman" w:hAnsi="Times New Roman"/>
          <w:sz w:val="20"/>
          <w:szCs w:val="20"/>
          <w:u w:val="single" w:color="auto"/>
          <w:color w:val="auto"/>
        </w:rPr>
        <w:t>Section 3.01(3)</w:t>
      </w:r>
      <w:r>
        <w:rPr>
          <w:rFonts w:ascii="Times New Roman" w:cs="Times New Roman" w:eastAsia="Times New Roman" w:hAnsi="Times New Roman"/>
          <w:sz w:val="20"/>
          <w:szCs w:val="20"/>
          <w:color w:val="auto"/>
        </w:rPr>
        <w:t>) obsolete, expired or inaccurate in any respect, deliver promptly to the Borrower and the Administrative Agent updated or other appropriate documentation (including any new documentation reasonably requested by the Borrower or the Administrative Agent) or promptly notify the Borrower and Administrative Agent of its legal ineligibility to do so.</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Without limiting the foregoing:</w:t>
      </w:r>
    </w:p>
    <w:p>
      <w:pPr>
        <w:spacing w:after="0" w:line="216" w:lineRule="exact"/>
        <w:rPr>
          <w:sz w:val="20"/>
          <w:szCs w:val="20"/>
          <w:color w:val="auto"/>
        </w:rPr>
      </w:pPr>
    </w:p>
    <w:p>
      <w:pPr>
        <w:ind w:right="200" w:firstLine="1880"/>
        <w:spacing w:after="0" w:line="249" w:lineRule="auto"/>
        <w:tabs>
          <w:tab w:leader="none" w:pos="226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U.S. Lender shall deliver to the Borrower and the Administrative Agent on or before the date on which it becomes a party to this Agreement (and from time to time thereafter upon the request of the Borrower or the Administrative Agent) two properly completed and duly signed copies of IRS Form W-9 (or successor form) certifying that such Lender is exempt from U.S. federal backup withholding.</w:t>
      </w:r>
    </w:p>
    <w:p>
      <w:pPr>
        <w:spacing w:after="0" w:line="179" w:lineRule="exact"/>
        <w:rPr>
          <w:rFonts w:ascii="Times New Roman" w:cs="Times New Roman" w:eastAsia="Times New Roman" w:hAnsi="Times New Roman"/>
          <w:sz w:val="20"/>
          <w:szCs w:val="20"/>
          <w:color w:val="auto"/>
        </w:rPr>
      </w:pPr>
    </w:p>
    <w:p>
      <w:pPr>
        <w:ind w:right="60" w:firstLine="1880"/>
        <w:spacing w:after="0" w:line="254" w:lineRule="auto"/>
        <w:tabs>
          <w:tab w:leader="none" w:pos="2268"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Lender, to the extent it is legally eligible to do so,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174" w:lineRule="exact"/>
        <w:rPr>
          <w:rFonts w:ascii="Times New Roman" w:cs="Times New Roman" w:eastAsia="Times New Roman" w:hAnsi="Times New Roman"/>
          <w:sz w:val="20"/>
          <w:szCs w:val="20"/>
          <w:color w:val="auto"/>
        </w:rPr>
      </w:pPr>
    </w:p>
    <w:p>
      <w:pPr>
        <w:ind w:right="200" w:firstLine="1505"/>
        <w:spacing w:after="0" w:line="254" w:lineRule="auto"/>
        <w:tabs>
          <w:tab w:leader="none" w:pos="189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properly completed and duly signed copies of IRS Form W-8BEN or W-8BEN-E (or any successor forms) claiming eligibility for the benefits of an income Tax treaty to which the United States is a party, and such other documentation as required under the Code,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properly completed and duly signed copies of IRS Form W-8ECI (or any successor forms),</w:t>
      </w:r>
    </w:p>
    <w:p>
      <w:pPr>
        <w:spacing w:after="0" w:line="215" w:lineRule="exact"/>
        <w:rPr>
          <w:rFonts w:ascii="Times New Roman" w:cs="Times New Roman" w:eastAsia="Times New Roman" w:hAnsi="Times New Roman"/>
          <w:sz w:val="20"/>
          <w:szCs w:val="20"/>
          <w:color w:val="auto"/>
        </w:rPr>
      </w:pPr>
    </w:p>
    <w:p>
      <w:pPr>
        <w:ind w:right="180" w:firstLine="1505"/>
        <w:spacing w:after="0" w:line="254" w:lineRule="auto"/>
        <w:tabs>
          <w:tab w:leader="none" w:pos="189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871(h) or Section 881(c) of the Code, (A) two properly completed and duly signed United States Tax Compliance Certificates and (B) two properly completed and duly signed copies of IRS Form W-8BEN or W-8BEN-E (or any successor forms),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63" w:name="page264"/>
    <w:bookmarkEnd w:id="263"/>
    <w:p>
      <w:pPr>
        <w:ind w:right="80" w:firstLine="1505"/>
        <w:spacing w:after="0" w:line="244" w:lineRule="auto"/>
        <w:tabs>
          <w:tab w:leader="none" w:pos="1893"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of an interest in a Loan or Commitment hereunder (for example, where such Foreign Lender is a partnership), two properly completed and duly signed copies of IRS Form W-8IMY (or any successor forms) of such Foreign Lender, accompanied by an IRS Form W-8ECI, Form W-8BEN or W-8BEN-E, United States Tax Compliance Certificate, Form W-9, Form W-8IMY and any other required information (or any successor forms) from each beneficial owner that would be required under this </w:t>
      </w:r>
      <w:r>
        <w:rPr>
          <w:rFonts w:ascii="Times New Roman" w:cs="Times New Roman" w:eastAsia="Times New Roman" w:hAnsi="Times New Roman"/>
          <w:sz w:val="20"/>
          <w:szCs w:val="20"/>
          <w:u w:val="single" w:color="auto"/>
          <w:color w:val="auto"/>
        </w:rPr>
        <w:t>Section 3.01(3)</w:t>
      </w:r>
      <w:r>
        <w:rPr>
          <w:rFonts w:ascii="Times New Roman" w:cs="Times New Roman" w:eastAsia="Times New Roman" w:hAnsi="Times New Roman"/>
          <w:sz w:val="20"/>
          <w:szCs w:val="20"/>
          <w:color w:val="auto"/>
        </w:rPr>
        <w:t xml:space="preserve"> if such beneficial owner were a Lender,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Lender is a partnership and if one or more beneficial owners are claiming the portfolio interest exemption, the United States Tax Compliance Certificate may be provided by such Foreign Lender on behalf of such beneficial owner(s)), or</w:t>
      </w:r>
    </w:p>
    <w:p>
      <w:pPr>
        <w:spacing w:after="0" w:line="185" w:lineRule="exact"/>
        <w:rPr>
          <w:rFonts w:ascii="Times New Roman" w:cs="Times New Roman" w:eastAsia="Times New Roman" w:hAnsi="Times New Roman"/>
          <w:sz w:val="20"/>
          <w:szCs w:val="20"/>
          <w:color w:val="auto"/>
        </w:rPr>
      </w:pPr>
    </w:p>
    <w:p>
      <w:pPr>
        <w:jc w:val="both"/>
        <w:ind w:right="360" w:firstLine="1505"/>
        <w:spacing w:after="0" w:line="254" w:lineRule="auto"/>
        <w:tabs>
          <w:tab w:leader="none" w:pos="1893"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properly completed and duly signed copies of any other documentation prescribed by applicable U.S. federal income Tax laws (including the Treasury Regulations) as a basis for claiming a complete exemption from, or a reduction in, U.S. federal withholding tax on any payments to such Lender under the Loan Documents.</w:t>
      </w:r>
    </w:p>
    <w:p>
      <w:pPr>
        <w:spacing w:after="0" w:line="174" w:lineRule="exact"/>
        <w:rPr>
          <w:rFonts w:ascii="Times New Roman" w:cs="Times New Roman" w:eastAsia="Times New Roman" w:hAnsi="Times New Roman"/>
          <w:sz w:val="20"/>
          <w:szCs w:val="20"/>
          <w:color w:val="auto"/>
        </w:rPr>
      </w:pPr>
    </w:p>
    <w:p>
      <w:pPr>
        <w:ind w:firstLine="1880"/>
        <w:spacing w:after="0" w:line="243" w:lineRule="auto"/>
        <w:tabs>
          <w:tab w:leader="none" w:pos="2268"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Loan Document would be subject to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the term “FATCA” shall include any amendments made to FATCA after the date of this Agreement.</w:t>
      </w:r>
    </w:p>
    <w:p>
      <w:pPr>
        <w:spacing w:after="0" w:line="186" w:lineRule="exact"/>
        <w:rPr>
          <w:sz w:val="20"/>
          <w:szCs w:val="20"/>
          <w:color w:val="auto"/>
        </w:rPr>
      </w:pPr>
    </w:p>
    <w:p>
      <w:pPr>
        <w:jc w:val="both"/>
        <w:ind w:right="640"/>
        <w:spacing w:after="0" w:line="295" w:lineRule="auto"/>
        <w:rPr>
          <w:sz w:val="20"/>
          <w:szCs w:val="20"/>
          <w:color w:val="auto"/>
        </w:rPr>
      </w:pPr>
      <w:r>
        <w:rPr>
          <w:rFonts w:ascii="Times New Roman" w:cs="Times New Roman" w:eastAsia="Times New Roman" w:hAnsi="Times New Roman"/>
          <w:sz w:val="19"/>
          <w:szCs w:val="19"/>
          <w:color w:val="auto"/>
        </w:rPr>
        <w:t>For the avoidance of doubt, if a Lender is an entity disregarded from its owner for U.S. federal income tax purposes, references to the foregoing documentation are intended to refer to documentation with respect to such Lender’s owner and, as applicable, such Lender.</w:t>
      </w:r>
    </w:p>
    <w:p>
      <w:pPr>
        <w:spacing w:after="0" w:line="138"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ineligibility to do so. Notwithstanding anything to the contrary in this </w:t>
      </w:r>
      <w:r>
        <w:rPr>
          <w:rFonts w:ascii="Times New Roman" w:cs="Times New Roman" w:eastAsia="Times New Roman" w:hAnsi="Times New Roman"/>
          <w:sz w:val="20"/>
          <w:szCs w:val="20"/>
          <w:u w:val="single" w:color="auto"/>
          <w:color w:val="auto"/>
        </w:rPr>
        <w:t>Section 3.01(3)</w:t>
      </w:r>
      <w:r>
        <w:rPr>
          <w:rFonts w:ascii="Times New Roman" w:cs="Times New Roman" w:eastAsia="Times New Roman" w:hAnsi="Times New Roman"/>
          <w:sz w:val="20"/>
          <w:szCs w:val="20"/>
          <w:color w:val="auto"/>
        </w:rPr>
        <w:t xml:space="preserve">, no Lender shall be required to deliver any documentation pursuant to this </w:t>
      </w:r>
      <w:r>
        <w:rPr>
          <w:rFonts w:ascii="Times New Roman" w:cs="Times New Roman" w:eastAsia="Times New Roman" w:hAnsi="Times New Roman"/>
          <w:sz w:val="20"/>
          <w:szCs w:val="20"/>
          <w:u w:val="single" w:color="auto"/>
          <w:color w:val="auto"/>
        </w:rPr>
        <w:t>Section 3.01(3)</w:t>
      </w:r>
      <w:r>
        <w:rPr>
          <w:rFonts w:ascii="Times New Roman" w:cs="Times New Roman" w:eastAsia="Times New Roman" w:hAnsi="Times New Roman"/>
          <w:sz w:val="20"/>
          <w:szCs w:val="20"/>
          <w:color w:val="auto"/>
        </w:rPr>
        <w:t xml:space="preserve"> that such Lender is not legally eligible to deliver.</w:t>
      </w:r>
    </w:p>
    <w:p>
      <w:pPr>
        <w:spacing w:after="0" w:line="180"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 xml:space="preserve">Each Lender hereby authorizes the Administrative Agent to deliver to the Loan Parties and to any successor Administrative Agent, as applicable, any documentation provided by such Lender to the Administrative Agent pursuant to this </w:t>
      </w:r>
      <w:r>
        <w:rPr>
          <w:rFonts w:ascii="Times New Roman" w:cs="Times New Roman" w:eastAsia="Times New Roman" w:hAnsi="Times New Roman"/>
          <w:sz w:val="20"/>
          <w:szCs w:val="20"/>
          <w:u w:val="single" w:color="auto"/>
          <w:color w:val="auto"/>
        </w:rPr>
        <w:t>Section 3.01(3)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20" w:firstLine="1505"/>
        <w:spacing w:after="0" w:line="269"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other amounts payable by the Borrower pursuant to </w:t>
      </w:r>
      <w:r>
        <w:rPr>
          <w:rFonts w:ascii="Times New Roman" w:cs="Times New Roman" w:eastAsia="Times New Roman" w:hAnsi="Times New Roman"/>
          <w:sz w:val="20"/>
          <w:szCs w:val="20"/>
          <w:u w:val="single" w:color="auto"/>
          <w:color w:val="auto"/>
        </w:rPr>
        <w:t>Section 3.01(2)</w:t>
      </w:r>
      <w:r>
        <w:rPr>
          <w:rFonts w:ascii="Times New Roman" w:cs="Times New Roman" w:eastAsia="Times New Roman" w:hAnsi="Times New Roman"/>
          <w:sz w:val="20"/>
          <w:szCs w:val="20"/>
          <w:color w:val="auto"/>
        </w:rPr>
        <w:t>, the Borrower shall pay any Other Taxes to the relevant Governmental Authority in accordance with applicable law.</w:t>
      </w:r>
    </w:p>
    <w:p>
      <w:pPr>
        <w:spacing w:after="0" w:line="155" w:lineRule="exact"/>
        <w:rPr>
          <w:rFonts w:ascii="Times New Roman" w:cs="Times New Roman" w:eastAsia="Times New Roman" w:hAnsi="Times New Roman"/>
          <w:sz w:val="20"/>
          <w:szCs w:val="20"/>
          <w:color w:val="auto"/>
        </w:rPr>
      </w:pPr>
    </w:p>
    <w:p>
      <w:pPr>
        <w:ind w:right="100" w:firstLine="1505"/>
        <w:spacing w:after="0" w:line="250" w:lineRule="auto"/>
        <w:tabs>
          <w:tab w:leader="none" w:pos="1893"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jointly and severally, indemnify a Lender, the Administrative Agent (each a “</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within 10 days after written demand therefor, for the full amount of any Non-Excluded Taxes or Other Taxes paid or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such Tax Indemnitee (including Non-Excluded Taxes or Other Taxes imposed on or attributable to amounts payable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(other than any interest, penalties and other costs determined by a final and non-appealable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64" w:name="page265"/>
    <w:bookmarkEnd w:id="264"/>
    <w:p>
      <w:pPr>
        <w:ind w:right="120"/>
        <w:spacing w:after="0" w:line="243" w:lineRule="auto"/>
        <w:rPr>
          <w:sz w:val="20"/>
          <w:szCs w:val="20"/>
          <w:color w:val="auto"/>
        </w:rPr>
      </w:pPr>
      <w:r>
        <w:rPr>
          <w:rFonts w:ascii="Times New Roman" w:cs="Times New Roman" w:eastAsia="Times New Roman" w:hAnsi="Times New Roman"/>
          <w:sz w:val="20"/>
          <w:szCs w:val="20"/>
          <w:color w:val="auto"/>
        </w:rPr>
        <w:t xml:space="preserve">judgment of a court of competent jurisdiction to have resulted from the gross negligence, bad faith or willful misconduct of such Tax Indemnitee), whether or not such Taxes were correctly or legally imposed or asserted by the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Borrower reasonably believes that such Taxes were not correctly or legally asserted, such Tax Indemnitee will cooperate with the Borrower to obtain a refund of such Taxes (which shall be repaid to the Borrower in accordance with </w:t>
      </w:r>
      <w:r>
        <w:rPr>
          <w:rFonts w:ascii="Times New Roman" w:cs="Times New Roman" w:eastAsia="Times New Roman" w:hAnsi="Times New Roman"/>
          <w:sz w:val="20"/>
          <w:szCs w:val="20"/>
          <w:u w:val="single" w:color="auto"/>
          <w:color w:val="auto"/>
        </w:rPr>
        <w:t>Section 3.01(6)</w:t>
      </w:r>
      <w:r>
        <w:rPr>
          <w:rFonts w:ascii="Times New Roman" w:cs="Times New Roman" w:eastAsia="Times New Roman" w:hAnsi="Times New Roman"/>
          <w:sz w:val="20"/>
          <w:szCs w:val="20"/>
          <w:color w:val="auto"/>
        </w:rPr>
        <w:t>) below so long as such efforts would not, in the sole determination exercised in good faith of such Tax Indemnitee, result in any additional out-of-pocket costs or expenses not reimbursed by such Loan Party or be otherwise materially disadvantageous to such Tax Indemnitee. A certificate as to the amount of such payment or liability prepared in good faith and delivered by the Tax Indemnitee, by the Administrative Agent on behalf of another Tax Indemnitee, shall be conclusive absent manifest error.</w:t>
      </w:r>
    </w:p>
    <w:p>
      <w:pPr>
        <w:spacing w:after="0" w:line="189" w:lineRule="exact"/>
        <w:rPr>
          <w:sz w:val="20"/>
          <w:szCs w:val="20"/>
          <w:color w:val="auto"/>
        </w:rPr>
      </w:pPr>
    </w:p>
    <w:p>
      <w:pPr>
        <w:ind w:right="60" w:firstLine="1505"/>
        <w:spacing w:after="0" w:line="255" w:lineRule="auto"/>
        <w:tabs>
          <w:tab w:leader="none" w:pos="1893"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and to the extent that a Tax Indemnitee, in its sole discretion (exercised in good faith), determines that it has received a refund (whether received in cash or applied against any other cash Taxes payable) of any Non-Excluded Taxes or Other Taxes in respect of which it has received indemnification payments or additional amounts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then such Tax Indemnitee shall pay to the relevant Loan Party the amount of such refund, net of all out-of-pocket expenses of the Tax Indemnitee (including any Taxes imposed with respect to such refund), and without interest (other than any interest paid by the relevant Governmental Authority with respect to such refund),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Loan Party, upon the request of the Tax Indemnitee, shall repay the amount paid over by the Tax Indemnitee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penalties, interest or other charges imposed by the relevant Governmental Authority) to the Tax Indemnitee to the extent the Tax Indemnitee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Section</w:t>
      </w:r>
    </w:p>
    <w:p>
      <w:pPr>
        <w:ind w:right="2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3.01(6)</w:t>
      </w:r>
      <w:r>
        <w:rPr>
          <w:rFonts w:ascii="Times New Roman" w:cs="Times New Roman" w:eastAsia="Times New Roman" w:hAnsi="Times New Roman"/>
          <w:sz w:val="20"/>
          <w:szCs w:val="20"/>
          <w:color w:val="auto"/>
        </w:rPr>
        <w:t xml:space="preserve">, in no event will the Tax Indemnitee be required to pay any amount to a Loan Party pursuant to this </w:t>
      </w:r>
      <w:r>
        <w:rPr>
          <w:rFonts w:ascii="Times New Roman" w:cs="Times New Roman" w:eastAsia="Times New Roman" w:hAnsi="Times New Roman"/>
          <w:sz w:val="20"/>
          <w:szCs w:val="20"/>
          <w:u w:val="single" w:color="auto"/>
          <w:color w:val="auto"/>
        </w:rPr>
        <w:t>Section 3.01(6)</w:t>
      </w:r>
      <w:r>
        <w:rPr>
          <w:rFonts w:ascii="Times New Roman" w:cs="Times New Roman" w:eastAsia="Times New Roman" w:hAnsi="Times New Roman"/>
          <w:sz w:val="20"/>
          <w:szCs w:val="20"/>
          <w:color w:val="auto"/>
        </w:rPr>
        <w:t xml:space="preserve"> the payment of which would place the Tax Indemnitee in a less favorable net after-Tax position than the Tax Indemnitee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 Tax Indemnitee to make available its tax returns (or any other information relating to its Taxes that it deems confidential) to any Loan Party or any other Person.</w:t>
      </w:r>
    </w:p>
    <w:p>
      <w:pPr>
        <w:spacing w:after="0" w:line="191" w:lineRule="exact"/>
        <w:rPr>
          <w:rFonts w:ascii="Times New Roman" w:cs="Times New Roman" w:eastAsia="Times New Roman" w:hAnsi="Times New Roman"/>
          <w:sz w:val="19"/>
          <w:szCs w:val="19"/>
          <w:color w:val="auto"/>
        </w:rPr>
      </w:pPr>
    </w:p>
    <w:p>
      <w:pPr>
        <w:ind w:firstLine="1505"/>
        <w:spacing w:after="0" w:line="256" w:lineRule="auto"/>
        <w:tabs>
          <w:tab w:leader="none" w:pos="1893"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before the date the Administrative Agent becomes a party to this Agreement, the Administrative Agent shall deliver to the Borrower whichever of the following is applicable: (a) if the Administrative Agent is a “United States person” within the meaning of Section 7701(a)(30) of the Code, two executed original copies of IRS Form W-9 certifying that the Administrative Agent is exempt from U.S. federal backup withholding or (b) if the Administrative Agent is not a “United States person” within the meaning of Section 7701(a)(30) of the Code, (i) with respect to payments received for its own account, two executed original copies of IRS Form W-8ECI and (ii) with respect to payments received on account of any Lender, two executed original copies of IRS Form W-8IMY (together with all required accompanying documentation) certifying that the Administrative Agent is a Withholding U.S. Branch. At any time thereafter, the Administrative Agent shall provide updated documentation previously provided (or a successor form thereto) when any documentation previously delivered has expired or become obsolete or invalid or otherwise upon the reasonable request of the Borrower. Notwithstanding anything to the contrary in this Section 3.01(7), the Administrative Agent shall not be required to provide any documentation that the Administrative Agent is not legally eligible to deliver as a result of a Change in Law after the date it becomes an Administrative Agent.</w:t>
      </w:r>
    </w:p>
    <w:p>
      <w:pPr>
        <w:spacing w:after="0" w:line="177" w:lineRule="exact"/>
        <w:rPr>
          <w:rFonts w:ascii="Times New Roman" w:cs="Times New Roman" w:eastAsia="Times New Roman" w:hAnsi="Times New Roman"/>
          <w:sz w:val="19"/>
          <w:szCs w:val="19"/>
          <w:color w:val="auto"/>
        </w:rPr>
      </w:pPr>
    </w:p>
    <w:p>
      <w:pPr>
        <w:ind w:right="180" w:firstLine="1505"/>
        <w:spacing w:after="0" w:line="254" w:lineRule="auto"/>
        <w:tabs>
          <w:tab w:leader="none" w:pos="1893"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agreements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the termination of this Agreement and the payment of the Loans and all other amounts payable hereunder.</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5" w:name="page266"/>
    <w:bookmarkEnd w:id="265"/>
    <w:p>
      <w:pPr>
        <w:ind w:left="1900" w:hanging="395"/>
        <w:spacing w:after="0"/>
        <w:tabs>
          <w:tab w:leader="none" w:pos="190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“Lender” includes any Issuing Bank and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 Line Lender.</w:t>
      </w:r>
    </w:p>
    <w:p>
      <w:pPr>
        <w:spacing w:after="0" w:line="19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color w:val="auto"/>
        </w:rPr>
        <w:t>SECTION 3.02 Illegality. If any Lender reasonably determines that any Change in Law has made it unlawful, or that any Governmental Authority has asserted that it is unlawful, for such Lender or its applicable Lending Office to make, maintain or fund Loans whose interest is determined by reference to the Term Benchmark Rate, or to determine or charge interest rates based upon the Term Benchmark Rate, then, on written notice thereof by such Lender to the Borrower through the Administrative Agent, (1) any obligation of such Lender to make or continue Term Benchmark Rate Loans or to convert Base Rate Loans to Term Benchmark Rate Loans shall be suspended and (2) if such notice asserts the illegality of such Lender making or maintaining Base Rate Loans the interest rate on which is determined by reference to the Term Benchmark Rate component of the Base Rate, the interest rate on which Base Rate Loans of such Lender shall, if necessary to avoid such illegality, be reasonably determined by the Administrative Agent without reference to the Term Benchmark Rate component of the Base Rate, in each case until such Lender notifies the Administrative Agent and the Borrower that the circumstances giving rise to such determination no longer exist. Upon receipt of such notice, (a) the Borrower may revoke any pending request for a Borrowing of, conversion to or continuation of Term Benchmark Rate Loans and shall, upon demand from such Lender (with a copy to the Administrative Agent), prepay or, if applicable, convert all Term Benchmark Rate Loans of such Lender to Base Rate Loans (the interest rate on which Base Rate Loans of such Lender shall, if necessary to avoid such illegality, be determined by the Administrative Agent without reference to the Term Benchmark Rate component of the Base Rate), either on the last day of the Interest Period therefor, if such Lender may lawfully continue to maintain such Term Benchmark Rate Loans to such day, or immediately, if such Lender may not lawfully continue to maintain such Term Benchmark Rate Loans and (b) if such notice asserts the illegality of such Lender determining or charging interest rates based upon the Term Benchmark Rate component of the Base Rate with respect to any Base Rate Loans, the Administrative Agent shall during the period of such suspension compute the Base Rate applicable to such Lender without reference to the Term Benchmark Rate component thereof until the Administrative Agent is advised in writing by such Lender that it is no longer illegal for such Lender to determine or charge interest rates based upon the Term Benchmark Rate. Upon any such prepayment or conversion, the Borrower shall also pay accrued interest on the amount so prepaid or converted.</w:t>
      </w:r>
    </w:p>
    <w:p>
      <w:pPr>
        <w:spacing w:after="0" w:line="206"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3.03</w:t>
      </w:r>
      <w:r>
        <w:rPr>
          <w:sz w:val="20"/>
          <w:szCs w:val="20"/>
          <w:color w:val="auto"/>
        </w:rPr>
        <w:tab/>
      </w:r>
      <w:r>
        <w:rPr>
          <w:rFonts w:ascii="Times New Roman" w:cs="Times New Roman" w:eastAsia="Times New Roman" w:hAnsi="Times New Roman"/>
          <w:sz w:val="19"/>
          <w:szCs w:val="19"/>
          <w:color w:val="auto"/>
        </w:rPr>
        <w:t>Inability to Determine Rates.</w:t>
      </w:r>
    </w:p>
    <w:p>
      <w:pPr>
        <w:spacing w:after="0" w:line="216" w:lineRule="exact"/>
        <w:rPr>
          <w:sz w:val="20"/>
          <w:szCs w:val="20"/>
          <w:color w:val="auto"/>
        </w:rPr>
      </w:pPr>
    </w:p>
    <w:p>
      <w:pPr>
        <w:jc w:val="both"/>
        <w:ind w:right="520" w:firstLine="1497"/>
        <w:spacing w:after="0" w:line="254" w:lineRule="auto"/>
        <w:rPr>
          <w:sz w:val="20"/>
          <w:szCs w:val="20"/>
          <w:color w:val="auto"/>
        </w:rPr>
      </w:pPr>
      <w:r>
        <w:rPr>
          <w:rFonts w:ascii="Times New Roman" w:cs="Times New Roman" w:eastAsia="Times New Roman" w:hAnsi="Times New Roman"/>
          <w:sz w:val="20"/>
          <w:szCs w:val="20"/>
          <w:color w:val="auto"/>
        </w:rPr>
        <w:t>If the Administrative Agent (in the case of clause (a) or (b) below) or the Required Lenders (in the case of clause (c) below) reasonably determine that for any reason in connection with any request for a Term Benchmark Rate Loan or a conversion to or continuation thereof:</w:t>
      </w:r>
    </w:p>
    <w:p>
      <w:pPr>
        <w:spacing w:after="0" w:line="174" w:lineRule="exact"/>
        <w:rPr>
          <w:sz w:val="20"/>
          <w:szCs w:val="20"/>
          <w:color w:val="auto"/>
        </w:rPr>
      </w:pPr>
    </w:p>
    <w:p>
      <w:pPr>
        <w:ind w:left="2280" w:hanging="400"/>
        <w:spacing w:after="0"/>
        <w:tabs>
          <w:tab w:leader="none" w:pos="228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SOFR Rate cannot be determined in accordance with the definition thereof,</w:t>
      </w:r>
    </w:p>
    <w:p>
      <w:pPr>
        <w:spacing w:after="0" w:line="215" w:lineRule="exact"/>
        <w:rPr>
          <w:rFonts w:ascii="Times New Roman" w:cs="Times New Roman" w:eastAsia="Times New Roman" w:hAnsi="Times New Roman"/>
          <w:sz w:val="20"/>
          <w:szCs w:val="20"/>
          <w:color w:val="auto"/>
        </w:rPr>
      </w:pPr>
    </w:p>
    <w:p>
      <w:pPr>
        <w:ind w:firstLine="1880"/>
        <w:spacing w:after="0" w:line="269" w:lineRule="auto"/>
        <w:tabs>
          <w:tab w:leader="none" w:pos="2268"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determining the Term Benchmark Rate for any requested Interest Period with respect to a proposed Term Benchmark Rate Loan or in connection with an existing or proposed Base Rate Loan, or</w:t>
      </w:r>
    </w:p>
    <w:p>
      <w:pPr>
        <w:spacing w:after="0" w:line="159" w:lineRule="exact"/>
        <w:rPr>
          <w:rFonts w:ascii="Times New Roman" w:cs="Times New Roman" w:eastAsia="Times New Roman" w:hAnsi="Times New Roman"/>
          <w:sz w:val="20"/>
          <w:szCs w:val="20"/>
          <w:color w:val="auto"/>
        </w:rPr>
      </w:pPr>
    </w:p>
    <w:p>
      <w:pPr>
        <w:ind w:right="260" w:firstLine="1880"/>
        <w:spacing w:after="0" w:line="269" w:lineRule="auto"/>
        <w:tabs>
          <w:tab w:leader="none" w:pos="2268"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Benchmark Rate for any requested Interest Period with respect to a proposed Term Benchmark Rate Loan does not adequately and fairly reflect the cost to such Lenders of funding such Loan,</w:t>
      </w:r>
    </w:p>
    <w:p>
      <w:pPr>
        <w:spacing w:after="0" w:line="15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9"/>
          <w:szCs w:val="19"/>
          <w:color w:val="auto"/>
        </w:rPr>
        <w:t>the Administrative Agent will promptly so notify the Borrower and each Lender. Thereafter, (i) the obligation of the Lenders to make or maintain Term Benchmark Rate Loans shall be suspended, and (ii) in the event of a determination described in the preceding sentence with respect to the Term Benchmark Rate component of the Base Rate, the utilization of the Term Benchmark Rate component in determining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6" w:name="page267"/>
    <w:bookmarkEnd w:id="266"/>
    <w:p>
      <w:pPr>
        <w:spacing w:after="0" w:line="249" w:lineRule="auto"/>
        <w:rPr>
          <w:sz w:val="20"/>
          <w:szCs w:val="20"/>
          <w:color w:val="auto"/>
        </w:rPr>
      </w:pPr>
      <w:r>
        <w:rPr>
          <w:rFonts w:ascii="Times New Roman" w:cs="Times New Roman" w:eastAsia="Times New Roman" w:hAnsi="Times New Roman"/>
          <w:sz w:val="20"/>
          <w:szCs w:val="20"/>
          <w:color w:val="auto"/>
        </w:rPr>
        <w:t>the Base Rate shall be suspended, in each case until the Administrative Agent (upon the instruction of the Required Lenders) revokes such notice. Upon receipt of such notice, the Borrower may revoke any pending request for a Borrowing of, conversion to or continuation of Term Benchmark Rate Loans or, failing that, will be deemed to have converted such request into a request for a Borrowing of Base Rate Loans in the amount specified therein.</w:t>
      </w:r>
    </w:p>
    <w:p>
      <w:pPr>
        <w:spacing w:after="0" w:line="18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3.04</w:t>
      </w:r>
      <w:r>
        <w:rPr>
          <w:sz w:val="20"/>
          <w:szCs w:val="20"/>
          <w:color w:val="auto"/>
        </w:rPr>
        <w:tab/>
      </w:r>
      <w:r>
        <w:rPr>
          <w:rFonts w:ascii="Times New Roman" w:cs="Times New Roman" w:eastAsia="Times New Roman" w:hAnsi="Times New Roman"/>
          <w:sz w:val="19"/>
          <w:szCs w:val="19"/>
          <w:color w:val="auto"/>
        </w:rPr>
        <w:t>Increased Cost and Reduced Return; Capital Adequacy; Reserves on Term Benchmark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-10795</wp:posOffset>
            </wp:positionV>
            <wp:extent cx="100520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8">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196" w:lineRule="exact"/>
        <w:rPr>
          <w:sz w:val="20"/>
          <w:szCs w:val="20"/>
          <w:color w:val="auto"/>
        </w:rPr>
      </w:pPr>
    </w:p>
    <w:p>
      <w:pPr>
        <w:ind w:left="1900" w:hanging="395"/>
        <w:spacing w:after="0"/>
        <w:tabs>
          <w:tab w:leader="none" w:pos="190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ind w:right="240" w:firstLine="1880"/>
        <w:spacing w:after="0" w:line="269" w:lineRule="auto"/>
        <w:tabs>
          <w:tab w:leader="none" w:pos="2268"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59" w:lineRule="exact"/>
        <w:rPr>
          <w:rFonts w:ascii="Times New Roman" w:cs="Times New Roman" w:eastAsia="Times New Roman" w:hAnsi="Times New Roman"/>
          <w:sz w:val="20"/>
          <w:szCs w:val="20"/>
          <w:color w:val="auto"/>
        </w:rPr>
      </w:pPr>
    </w:p>
    <w:p>
      <w:pPr>
        <w:jc w:val="both"/>
        <w:ind w:right="320" w:firstLine="1880"/>
        <w:spacing w:after="0" w:line="254" w:lineRule="auto"/>
        <w:tabs>
          <w:tab w:leader="none" w:pos="2268"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Lender to any Tax of any kind whatsoever with respect to this Agreement, or change the basis of taxation of payments to such Lender in respect thereof (except for Non-Excluded Taxes or Other Taxes covered by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any Excluded Taxes); or</w:t>
      </w:r>
    </w:p>
    <w:p>
      <w:pPr>
        <w:spacing w:after="0" w:line="174" w:lineRule="exact"/>
        <w:rPr>
          <w:rFonts w:ascii="Times New Roman" w:cs="Times New Roman" w:eastAsia="Times New Roman" w:hAnsi="Times New Roman"/>
          <w:sz w:val="20"/>
          <w:szCs w:val="20"/>
          <w:color w:val="auto"/>
        </w:rPr>
      </w:pPr>
    </w:p>
    <w:p>
      <w:pPr>
        <w:ind w:firstLine="1880"/>
        <w:spacing w:after="0" w:line="254" w:lineRule="auto"/>
        <w:tabs>
          <w:tab w:leader="none" w:pos="2268"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on any Lender any other condition, cost or expense (in each case, other than with respect to Taxes) affecting this Agreement or Term Benchmark Rate Loans made by such Lender that is not otherwise accounted for in the definition of “Term Benchmark Rate” or this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and the result of any of the foregoing shall be to increase the cost to such Lender of making or maintaining any Loan the interest on which is determined by reference to the Term Benchmark Rate (or of maintaining its obligation to make any such Loan) or to increase the cost to such Lender of participating in, issuing or maintaining any Letter of Credit (or of maintaining its obligation to participate in or to issue any Letter of Credit), or to reduce the amount of any sum received or receivable by such Lender (whether of principal, interest or any other amount) then, from time to time within fifteen (15) days after demand by such Lender setting forth in reasonable detail such increased costs (with a copy of such demand to the Administrative Agent), the Borrower will pay to such Lender such additional amount or amounts as will compensate such Lender for such additional costs incurred or reduction suffered;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amounts shall only be payable by the Borrower to the applicable Lender under this </w:t>
      </w:r>
      <w:r>
        <w:rPr>
          <w:rFonts w:ascii="Times New Roman" w:cs="Times New Roman" w:eastAsia="Times New Roman" w:hAnsi="Times New Roman"/>
          <w:sz w:val="20"/>
          <w:szCs w:val="20"/>
          <w:u w:val="single" w:color="auto"/>
          <w:color w:val="auto"/>
        </w:rPr>
        <w:t>Section 3.04(1)</w:t>
      </w:r>
      <w:r>
        <w:rPr>
          <w:rFonts w:ascii="Times New Roman" w:cs="Times New Roman" w:eastAsia="Times New Roman" w:hAnsi="Times New Roman"/>
          <w:sz w:val="20"/>
          <w:szCs w:val="20"/>
          <w:color w:val="auto"/>
        </w:rPr>
        <w:t xml:space="preserve"> so long as such Lender certifies that it is such Lender’s general policy or practice to demand compensation in similar circumstances under comparable provisions of other financing agreements.</w:t>
      </w:r>
    </w:p>
    <w:p>
      <w:pPr>
        <w:spacing w:after="0" w:line="186" w:lineRule="exact"/>
        <w:rPr>
          <w:sz w:val="20"/>
          <w:szCs w:val="20"/>
          <w:color w:val="auto"/>
        </w:rPr>
      </w:pPr>
    </w:p>
    <w:p>
      <w:pPr>
        <w:ind w:right="60" w:firstLine="1505"/>
        <w:spacing w:after="0" w:line="242" w:lineRule="auto"/>
        <w:tabs>
          <w:tab w:leader="none" w:pos="1893"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xml:space="preserve">. If any Lender reasonably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it, or participations in or issuance of Letters of Credit by such Lender, to a level below that which such Lender or such Lender’s holding company, as the case may be, could have achieved but for such Change in Law (taking into consideration such Lender’s policies and the policies of such Lender’s holding company with respect to capital adequacy and liquidity), then from time to time upon demand of such Lender setting forth in reasonable detail the charge and the calculation of such reduced rate of return (with a copy of such demand to the Administrative Agent), the Borrower will pay to such Lender additional amount or amounts as will compensate such Lender or such Lender’s holding company for any such reduction suffered;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amounts shall only be payable by the Borrower to the applicable Lender under this </w:t>
      </w:r>
      <w:r>
        <w:rPr>
          <w:rFonts w:ascii="Times New Roman" w:cs="Times New Roman" w:eastAsia="Times New Roman" w:hAnsi="Times New Roman"/>
          <w:sz w:val="20"/>
          <w:szCs w:val="20"/>
          <w:u w:val="single" w:color="auto"/>
          <w:color w:val="auto"/>
        </w:rPr>
        <w:t>Section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67" w:name="page268"/>
    <w:bookmarkEnd w:id="267"/>
    <w:p>
      <w:pPr>
        <w:ind w:right="780"/>
        <w:spacing w:after="0" w:line="269" w:lineRule="auto"/>
        <w:rPr>
          <w:sz w:val="20"/>
          <w:szCs w:val="20"/>
          <w:color w:val="auto"/>
        </w:rPr>
      </w:pPr>
      <w:r>
        <w:rPr>
          <w:rFonts w:ascii="Times New Roman" w:cs="Times New Roman" w:eastAsia="Times New Roman" w:hAnsi="Times New Roman"/>
          <w:sz w:val="20"/>
          <w:szCs w:val="20"/>
          <w:u w:val="single" w:color="auto"/>
          <w:color w:val="auto"/>
        </w:rPr>
        <w:t>3.04(2)</w:t>
      </w:r>
      <w:r>
        <w:rPr>
          <w:rFonts w:ascii="Times New Roman" w:cs="Times New Roman" w:eastAsia="Times New Roman" w:hAnsi="Times New Roman"/>
          <w:sz w:val="20"/>
          <w:szCs w:val="20"/>
          <w:color w:val="auto"/>
        </w:rPr>
        <w:t xml:space="preserve"> so long as it is such Lender’s general policy or practice to demand compensation in similar circumstances under comparable provisions of other financing agreements.</w:t>
      </w:r>
    </w:p>
    <w:p>
      <w:pPr>
        <w:spacing w:after="0" w:line="159" w:lineRule="exact"/>
        <w:rPr>
          <w:sz w:val="20"/>
          <w:szCs w:val="20"/>
          <w:color w:val="auto"/>
        </w:rPr>
      </w:pPr>
    </w:p>
    <w:p>
      <w:pPr>
        <w:ind w:right="20" w:firstLine="1505"/>
        <w:spacing w:after="0" w:line="249" w:lineRule="auto"/>
        <w:tabs>
          <w:tab w:leader="none" w:pos="1893"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setting forth the amount or amounts necessary to compensate such Lender or its holding company, as the case may be, as specified in </w:t>
      </w:r>
      <w:r>
        <w:rPr>
          <w:rFonts w:ascii="Times New Roman" w:cs="Times New Roman" w:eastAsia="Times New Roman" w:hAnsi="Times New Roman"/>
          <w:sz w:val="20"/>
          <w:szCs w:val="20"/>
          <w:u w:val="single" w:color="auto"/>
          <w:color w:val="auto"/>
        </w:rPr>
        <w:t>subsection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delivered to the Borrower shall be conclusive absent manifest error. The Borrower shall pay such Lender, as the case may be, the amount shown as due on any such certificate within fifteen (15) days after receipt thereof.</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SECTION 3.05 Funding Losses. Upon written demand of any Lender (with a copy to the Administrative Agent) from time to time, which demand shall set forth in reasonable detail the basis for requesting such amount, the Borrower shall promptly compensate such Lender for and hold such Lender harmless from any loss, cost or expense (excluding loss of anticipated profits or margin) actually incurred by it as a result of:</w:t>
      </w:r>
    </w:p>
    <w:p>
      <w:pPr>
        <w:spacing w:after="0" w:line="180" w:lineRule="exact"/>
        <w:rPr>
          <w:sz w:val="20"/>
          <w:szCs w:val="20"/>
          <w:color w:val="auto"/>
        </w:rPr>
      </w:pPr>
    </w:p>
    <w:p>
      <w:pPr>
        <w:ind w:right="240" w:firstLine="1505"/>
        <w:spacing w:after="0" w:line="269" w:lineRule="auto"/>
        <w:tabs>
          <w:tab w:leader="none" w:pos="189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Term Benchmark Rate Loan on a day prior to the last day of the Interest Period for such Loan (whether voluntary, mandatory, automatic, by reason of acceleration, or otherwise);</w:t>
      </w:r>
    </w:p>
    <w:p>
      <w:pPr>
        <w:spacing w:after="0" w:line="159" w:lineRule="exact"/>
        <w:rPr>
          <w:rFonts w:ascii="Times New Roman" w:cs="Times New Roman" w:eastAsia="Times New Roman" w:hAnsi="Times New Roman"/>
          <w:sz w:val="20"/>
          <w:szCs w:val="20"/>
          <w:color w:val="auto"/>
        </w:rPr>
      </w:pPr>
    </w:p>
    <w:p>
      <w:pPr>
        <w:ind w:right="300" w:firstLine="1505"/>
        <w:spacing w:after="0" w:line="269" w:lineRule="auto"/>
        <w:tabs>
          <w:tab w:leader="none" w:pos="189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Term Benchmark Rate Loan on the date or in the amount notified by the Borrower; or</w:t>
      </w:r>
    </w:p>
    <w:p>
      <w:pPr>
        <w:spacing w:after="0" w:line="159" w:lineRule="exact"/>
        <w:rPr>
          <w:rFonts w:ascii="Times New Roman" w:cs="Times New Roman" w:eastAsia="Times New Roman" w:hAnsi="Times New Roman"/>
          <w:sz w:val="20"/>
          <w:szCs w:val="20"/>
          <w:color w:val="auto"/>
        </w:rPr>
      </w:pPr>
    </w:p>
    <w:p>
      <w:pPr>
        <w:ind w:right="120" w:firstLine="1505"/>
        <w:spacing w:after="0" w:line="249" w:lineRule="auto"/>
        <w:tabs>
          <w:tab w:leader="none" w:pos="189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Benchmark Rate Loan on a day prior to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including any loss or expense (excluding loss of anticipated profits or margin) actually incurred by reason of the liquidation or reemployment of funds obtained by it to maintain such Term Benchmark Rate Loan or from fees payable to terminate the deposits from which such funds were obtained.</w:t>
      </w:r>
    </w:p>
    <w:p>
      <w:pPr>
        <w:spacing w:after="0" w:line="18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the foregoing, no Lender may make any demand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with respect to the “floor” specified in the proviso to the definition of “Term SOFR Rate.”</w:t>
      </w:r>
    </w:p>
    <w:p>
      <w:pPr>
        <w:spacing w:after="0" w:line="159"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3.06</w:t>
      </w:r>
      <w:r>
        <w:rPr>
          <w:sz w:val="20"/>
          <w:szCs w:val="20"/>
          <w:color w:val="auto"/>
        </w:rPr>
        <w:tab/>
      </w:r>
      <w:r>
        <w:rPr>
          <w:rFonts w:ascii="Times New Roman" w:cs="Times New Roman" w:eastAsia="Times New Roman" w:hAnsi="Times New Roman"/>
          <w:sz w:val="19"/>
          <w:szCs w:val="19"/>
          <w:color w:val="auto"/>
        </w:rPr>
        <w:t>Matters Applicable to All Requests for Compensation.</w:t>
      </w:r>
    </w:p>
    <w:p>
      <w:pPr>
        <w:spacing w:after="0" w:line="216" w:lineRule="exact"/>
        <w:rPr>
          <w:sz w:val="20"/>
          <w:szCs w:val="20"/>
          <w:color w:val="auto"/>
        </w:rPr>
      </w:pPr>
    </w:p>
    <w:p>
      <w:pPr>
        <w:ind w:right="20" w:firstLine="1505"/>
        <w:spacing w:after="0" w:line="264" w:lineRule="auto"/>
        <w:tabs>
          <w:tab w:leader="none" w:pos="1893"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a Different Lending Office</w:t>
      </w:r>
      <w:r>
        <w:rPr>
          <w:rFonts w:ascii="Times New Roman" w:cs="Times New Roman" w:eastAsia="Times New Roman" w:hAnsi="Times New Roman"/>
          <w:sz w:val="19"/>
          <w:szCs w:val="19"/>
          <w:color w:val="auto"/>
        </w:rPr>
        <w:t xml:space="preserve">. If any Lender requests compensation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or the Borrower is required to pay any additional amount to any Lender or any Governmental Authority for the account of any Lender pursuant to </w:t>
      </w:r>
      <w:r>
        <w:rPr>
          <w:rFonts w:ascii="Times New Roman" w:cs="Times New Roman" w:eastAsia="Times New Roman" w:hAnsi="Times New Roman"/>
          <w:sz w:val="19"/>
          <w:szCs w:val="19"/>
          <w:u w:val="single" w:color="auto"/>
          <w:color w:val="auto"/>
        </w:rPr>
        <w:t>Section</w:t>
      </w:r>
    </w:p>
    <w:p>
      <w:pPr>
        <w:ind w:right="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(a)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(b) in each case, would not subject such Lender to any unreimbursed cost or expense and would not otherwise be disadvantageous to such Lender in any material economic, legal or regulatory respect.</w:t>
      </w:r>
    </w:p>
    <w:p>
      <w:pPr>
        <w:spacing w:after="0" w:line="191" w:lineRule="exact"/>
        <w:rPr>
          <w:rFonts w:ascii="Times New Roman" w:cs="Times New Roman" w:eastAsia="Times New Roman" w:hAnsi="Times New Roman"/>
          <w:sz w:val="19"/>
          <w:szCs w:val="19"/>
          <w:color w:val="auto"/>
        </w:rPr>
      </w:pPr>
    </w:p>
    <w:p>
      <w:pPr>
        <w:ind w:right="340" w:firstLine="1505"/>
        <w:spacing w:after="0" w:line="249" w:lineRule="auto"/>
        <w:tabs>
          <w:tab w:leader="none" w:pos="1893"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Suspension of Lender Obligations</w:t>
      </w:r>
      <w:r>
        <w:rPr>
          <w:rFonts w:ascii="Times New Roman" w:cs="Times New Roman" w:eastAsia="Times New Roman" w:hAnsi="Times New Roman"/>
          <w:sz w:val="20"/>
          <w:szCs w:val="20"/>
          <w:color w:val="auto"/>
        </w:rPr>
        <w:t xml:space="preserve">. If any Lender requests compensation by the Borrower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the Borrower may, by notice to such Lender (with a copy to the Administrative Agent), suspend the obligation of such Lender to make or continue Term Benchmark Rate Loans from one Interest Period to another Interest Period, or to convert Base Rate Loans into Term Benchmark Rate Loans until the event or condition giving rise to such request ceases to be in effect (in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8" w:name="page269"/>
    <w:bookmarkEnd w:id="268"/>
    <w:p>
      <w:pPr>
        <w:ind w:right="260"/>
        <w:spacing w:after="0" w:line="273" w:lineRule="auto"/>
        <w:rPr>
          <w:sz w:val="20"/>
          <w:szCs w:val="20"/>
          <w:color w:val="auto"/>
        </w:rPr>
      </w:pPr>
      <w:r>
        <w:rPr>
          <w:rFonts w:ascii="Times New Roman" w:cs="Times New Roman" w:eastAsia="Times New Roman" w:hAnsi="Times New Roman"/>
          <w:sz w:val="20"/>
          <w:szCs w:val="20"/>
          <w:color w:val="auto"/>
        </w:rPr>
        <w:t xml:space="preserve">which case the provisions of </w:t>
      </w:r>
      <w:r>
        <w:rPr>
          <w:rFonts w:ascii="Times New Roman" w:cs="Times New Roman" w:eastAsia="Times New Roman" w:hAnsi="Times New Roman"/>
          <w:sz w:val="20"/>
          <w:szCs w:val="20"/>
          <w:u w:val="single" w:color="auto"/>
          <w:color w:val="auto"/>
        </w:rPr>
        <w:t>Section 3.06(3)</w:t>
      </w:r>
      <w:r>
        <w:rPr>
          <w:rFonts w:ascii="Times New Roman" w:cs="Times New Roman" w:eastAsia="Times New Roman" w:hAnsi="Times New Roman"/>
          <w:sz w:val="20"/>
          <w:szCs w:val="20"/>
          <w:color w:val="auto"/>
        </w:rPr>
        <w:t xml:space="preserve"> shall be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suspension shall not affect the right of such Lender to receive the compensation so requested.</w:t>
      </w:r>
    </w:p>
    <w:p>
      <w:pPr>
        <w:spacing w:after="0" w:line="156" w:lineRule="exact"/>
        <w:rPr>
          <w:sz w:val="20"/>
          <w:szCs w:val="20"/>
          <w:color w:val="auto"/>
        </w:rPr>
      </w:pPr>
    </w:p>
    <w:p>
      <w:pPr>
        <w:ind w:right="40" w:firstLine="1505"/>
        <w:spacing w:after="0" w:line="243" w:lineRule="auto"/>
        <w:tabs>
          <w:tab w:leader="none" w:pos="189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of Term Benchmark Rate Loans</w:t>
      </w:r>
      <w:r>
        <w:rPr>
          <w:rFonts w:ascii="Times New Roman" w:cs="Times New Roman" w:eastAsia="Times New Roman" w:hAnsi="Times New Roman"/>
          <w:sz w:val="20"/>
          <w:szCs w:val="20"/>
          <w:color w:val="auto"/>
        </w:rPr>
        <w:t xml:space="preserve">. If any Lender gives notice to the Borrower (with a copy to the Administrative Agent) that the circumstances specified </w:t>
      </w:r>
      <w:r>
        <w:rPr>
          <w:rFonts w:ascii="Times New Roman" w:cs="Times New Roman" w:eastAsia="Times New Roman" w:hAnsi="Times New Roman"/>
          <w:sz w:val="20"/>
          <w:szCs w:val="20"/>
          <w:u w:val="single" w:color="auto"/>
          <w:color w:val="auto"/>
        </w:rPr>
        <w:t>in Section 3.02, 3.03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hereof that gave rise to the conversion of such Lender’s Term Benchmark Rate Loans no longer exist (which such Lender agrees to do promptly upon such circumstances ceasing to exist) at a time when Term Benchmark Rate Loans made by other Lenders, as applicable, are outstanding, such Lender’s Base Rate Loans shall be automatically converted, on the first day(s) of the next succeeding Interest Period(s) for such outstanding Term Benchmark Rate Loans to the extent necessary so that, after giving effect thereto, all Loans of a given Class held by the Lenders of such Class holding Term Benchmark Rate Loans and by such Lender are held pro rata (as to principal amounts, interest rate basis, and Interest Periods) in accordance with their respective Pro Rata Shares.</w:t>
      </w:r>
    </w:p>
    <w:p>
      <w:pPr>
        <w:spacing w:after="0" w:line="189" w:lineRule="exact"/>
        <w:rPr>
          <w:rFonts w:ascii="Times New Roman" w:cs="Times New Roman" w:eastAsia="Times New Roman" w:hAnsi="Times New Roman"/>
          <w:sz w:val="20"/>
          <w:szCs w:val="20"/>
          <w:color w:val="auto"/>
        </w:rPr>
      </w:pPr>
    </w:p>
    <w:p>
      <w:pPr>
        <w:ind w:right="140" w:firstLine="1505"/>
        <w:spacing w:after="0" w:line="244" w:lineRule="auto"/>
        <w:tabs>
          <w:tab w:leader="none" w:pos="1893"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to demand compensation pursuant to the foregoing provisions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shall not constitute a waiver of such Lender’s right to demand such compensation;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be required to compensate a Lender pursuant to the foregoing provisions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for any increased costs incurred or reductions suffered more than one hundred and eighty (180) days prior to the date that such Lender notifies the Borrower of the event giving rise to such claim and of such Lender’s intention to claim compensation therefor (except that, if the circumstance giving rise to such increased costs or reductions is retroactive, then the 180-day period referred to above shall be extended to include the period of retroactive effect thereof).</w:t>
      </w:r>
    </w:p>
    <w:p>
      <w:pPr>
        <w:spacing w:after="0" w:line="18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3.07 Replacement of Lenders under Certain Circumstances. If (1)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ceases to make Term Benchmark Rate Loans as a result of any condition described in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(2) the Borrower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(3) any Lender is a Non-Consenting Lender, (4) any Lender becomes a Defaulting Lender or (5) any other circumstance exists hereunder that gives the Borrower the right to replace a Lender as a party hereto, then the Borrower may, at its sole expense and effort, upon notice to such Lender and the Administrative Agent,</w:t>
      </w:r>
    </w:p>
    <w:p>
      <w:pPr>
        <w:spacing w:after="0" w:line="184" w:lineRule="exact"/>
        <w:rPr>
          <w:sz w:val="20"/>
          <w:szCs w:val="20"/>
          <w:color w:val="auto"/>
        </w:rPr>
      </w:pPr>
    </w:p>
    <w:p>
      <w:pPr>
        <w:ind w:right="20" w:firstLine="1880"/>
        <w:spacing w:after="0" w:line="246" w:lineRule="auto"/>
        <w:tabs>
          <w:tab w:leader="none" w:pos="2268"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such Lender to assign and delegate, without recourse (in accordance with and subject to the restrictions contained in, and consents required by, Section 10.07), all of its interests, rights and obligations under this Agreement (or, with respect to clause (3) above, all of its interests, rights and obligations with respect to the Class of Loans or Commitments that is the subject of the related consent, waiver, or amendment, as applicable) and the related Loan Documents to one or more Eligible Assignees that shall assume such obligations (any of which assignee may be another Lender, if a Lender accepts such assignment), provided that:</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the assignment fee specified in </w:t>
      </w:r>
      <w:r>
        <w:rPr>
          <w:rFonts w:ascii="Times New Roman" w:cs="Times New Roman" w:eastAsia="Times New Roman" w:hAnsi="Times New Roman"/>
          <w:sz w:val="20"/>
          <w:szCs w:val="20"/>
          <w:u w:val="single" w:color="auto"/>
          <w:color w:val="auto"/>
        </w:rPr>
        <w:t>Section 10.07(2)(d)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right="80" w:firstLine="1505"/>
        <w:spacing w:after="0" w:line="249" w:lineRule="auto"/>
        <w:tabs>
          <w:tab w:leader="none" w:pos="1893"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applicable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from the assignee (to the extent of such outstanding principal and accrued interest and fees) or the Borrower (in the case of all other amounts);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9" w:name="page270"/>
    <w:bookmarkEnd w:id="269"/>
    <w:p>
      <w:pPr>
        <w:ind w:right="20" w:firstLine="1505"/>
        <w:spacing w:after="0" w:line="245" w:lineRule="auto"/>
        <w:tabs>
          <w:tab w:leader="none" w:pos="189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being replaced pursuant to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shall (I) execute and deliver an Assignment and Assumption with respect to all, or a portion, as applicable, of such Lender’s Commitment and outstanding Loans and participations in L/C Obligations and Swing Line Loans and (II) deliver any Notes evidencing such Loans to the Borrower or Administrative Agent (or a lost or destroyed note indemnity in lieu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of any such Lender to execute an Assignment and Assumption or deliver such Notes shall not render such sale and purchase (and the corresponding assignment) invalid and such assignment shall be recorded in the Register and the Notes shall be deemed to be canceled upon such failure;</w:t>
      </w:r>
    </w:p>
    <w:p>
      <w:pPr>
        <w:spacing w:after="0" w:line="184" w:lineRule="exact"/>
        <w:rPr>
          <w:rFonts w:ascii="Times New Roman" w:cs="Times New Roman" w:eastAsia="Times New Roman" w:hAnsi="Times New Roman"/>
          <w:sz w:val="20"/>
          <w:szCs w:val="20"/>
          <w:color w:val="auto"/>
        </w:rPr>
      </w:pPr>
    </w:p>
    <w:p>
      <w:pPr>
        <w:ind w:right="200" w:firstLine="1505"/>
        <w:spacing w:after="0" w:line="254" w:lineRule="auto"/>
        <w:tabs>
          <w:tab w:leader="none" w:pos="189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Eligible Assignee shall become a Lender hereunder and the assigning Lender shall cease to constitute a Lender hereunder with respect to such assigned Loans, Commitments and participations, except with respect to indemnification and confidentiality provisions under this Agreement, which shall survive as to such assigning Lender;</w:t>
      </w:r>
    </w:p>
    <w:p>
      <w:pPr>
        <w:spacing w:after="0" w:line="174" w:lineRule="exact"/>
        <w:rPr>
          <w:rFonts w:ascii="Times New Roman" w:cs="Times New Roman" w:eastAsia="Times New Roman" w:hAnsi="Times New Roman"/>
          <w:sz w:val="20"/>
          <w:szCs w:val="20"/>
          <w:color w:val="auto"/>
        </w:rPr>
      </w:pPr>
    </w:p>
    <w:p>
      <w:pPr>
        <w:ind w:right="100" w:firstLine="1505"/>
        <w:spacing w:after="0" w:line="269" w:lineRule="auto"/>
        <w:tabs>
          <w:tab w:leader="none" w:pos="189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w:t>
      </w:r>
    </w:p>
    <w:p>
      <w:pPr>
        <w:spacing w:after="0" w:line="215" w:lineRule="exact"/>
        <w:rPr>
          <w:rFonts w:ascii="Times New Roman" w:cs="Times New Roman" w:eastAsia="Times New Roman" w:hAnsi="Times New Roman"/>
          <w:sz w:val="20"/>
          <w:szCs w:val="20"/>
          <w:color w:val="auto"/>
        </w:rPr>
      </w:pPr>
    </w:p>
    <w:p>
      <w:pPr>
        <w:ind w:firstLine="1505"/>
        <w:spacing w:after="0" w:line="246" w:lineRule="auto"/>
        <w:tabs>
          <w:tab w:leader="none" w:pos="189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acts as an Issuing Bank may not be replaced hereunder at any time when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w:t>
      </w:r>
    </w:p>
    <w:p>
      <w:pPr>
        <w:spacing w:after="0" w:line="184" w:lineRule="exact"/>
        <w:rPr>
          <w:rFonts w:ascii="Times New Roman" w:cs="Times New Roman" w:eastAsia="Times New Roman" w:hAnsi="Times New Roman"/>
          <w:sz w:val="20"/>
          <w:szCs w:val="20"/>
          <w:color w:val="auto"/>
        </w:rPr>
      </w:pPr>
    </w:p>
    <w:p>
      <w:pPr>
        <w:ind w:right="420" w:firstLine="1505"/>
        <w:spacing w:after="0" w:line="269" w:lineRule="auto"/>
        <w:tabs>
          <w:tab w:leader="none" w:pos="2289"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 that acts as Administrative Agent cannot be replaced in its respective capacity as Administrative Agent other than in accordance with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right="420" w:firstLine="1505"/>
        <w:spacing w:after="0" w:line="269" w:lineRule="auto"/>
        <w:tabs>
          <w:tab w:leader="none" w:pos="189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replacement of a Non-Consenting Lender, such Eligible Assignee shall have agreed to the consent, waiver or amendment in question; or</w:t>
      </w:r>
    </w:p>
    <w:p>
      <w:pPr>
        <w:spacing w:after="0" w:line="159" w:lineRule="exact"/>
        <w:rPr>
          <w:rFonts w:ascii="Times New Roman" w:cs="Times New Roman" w:eastAsia="Times New Roman" w:hAnsi="Times New Roman"/>
          <w:sz w:val="20"/>
          <w:szCs w:val="20"/>
          <w:color w:val="auto"/>
        </w:rPr>
      </w:pPr>
    </w:p>
    <w:p>
      <w:pPr>
        <w:ind w:right="20" w:firstLine="1880"/>
        <w:spacing w:after="0" w:line="243" w:lineRule="auto"/>
        <w:tabs>
          <w:tab w:leader="none" w:pos="2268" w:val="left"/>
        </w:tabs>
        <w:numPr>
          <w:ilvl w:val="1"/>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terminate the Commitment of such Lender or Issuing Bank, as the case may be, and (i) in the case of a Lender (other than an Issuing Bank), repay all Obligations of the Borrower owing to such Lender relating to the Loans and participations held by such Lender as of such termination date and (ii) in the case of an Issuing Bank, repay all Obligations of the Borrower owing to such Issuing Bank relating to the Loans and participations held by such Issuing Bank as of such termination date and Cash Collateralize, cancel or backstop, or provide for the deemed reissuance under another facility, on terms satisfactory to such Issuing Bank any Letters of Credit issued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any such termination of the Commitment of a Non-Consenting Lender such termination shall be sufficient (together with all other consenting Lenders) to cause the adoption of the applicable consent, waiver or amendment of the Loan Documents and such termination shall, with respect to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above, be in respect of all of its interests, rights and obligations with respect to the Class of Loans or Commitments that is the subject of the related consent, waiver and amendment.</w:t>
      </w:r>
    </w:p>
    <w:p>
      <w:pPr>
        <w:spacing w:after="0" w:line="186" w:lineRule="exact"/>
        <w:rPr>
          <w:sz w:val="20"/>
          <w:szCs w:val="20"/>
          <w:color w:val="auto"/>
        </w:rPr>
      </w:pPr>
    </w:p>
    <w:p>
      <w:pPr>
        <w:ind w:right="360" w:firstLine="1497"/>
        <w:spacing w:after="0" w:line="249" w:lineRule="auto"/>
        <w:rPr>
          <w:sz w:val="20"/>
          <w:szCs w:val="20"/>
          <w:color w:val="auto"/>
        </w:rPr>
      </w:pPr>
      <w:r>
        <w:rPr>
          <w:rFonts w:ascii="Times New Roman" w:cs="Times New Roman" w:eastAsia="Times New Roman" w:hAnsi="Times New Roman"/>
          <w:sz w:val="20"/>
          <w:szCs w:val="20"/>
          <w:color w:val="auto"/>
        </w:rPr>
        <w:t>In the event that (1) the Borrower or the Administrative Agent has requested that the Lenders consent to a departure or waiver of any provisions of the Loan Documents or agree to any amendment thereto, (2) the consent, waiver or amendment in question requires the agreement of each Lender, all affected Lenders or all the Lenders or all affected Lenders with respect to a certain Class or Classes of the Loans/Commitments and (3) the Required Lenders or Required Facility Lenders, as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0" w:name="page271"/>
    <w:bookmarkEnd w:id="270"/>
    <w:p>
      <w:pPr>
        <w:ind w:right="220"/>
        <w:spacing w:after="0" w:line="269" w:lineRule="auto"/>
        <w:rPr>
          <w:sz w:val="20"/>
          <w:szCs w:val="20"/>
          <w:color w:val="auto"/>
        </w:rPr>
      </w:pPr>
      <w:r>
        <w:rPr>
          <w:rFonts w:ascii="Times New Roman" w:cs="Times New Roman" w:eastAsia="Times New Roman" w:hAnsi="Times New Roman"/>
          <w:sz w:val="20"/>
          <w:szCs w:val="20"/>
          <w:color w:val="auto"/>
        </w:rPr>
        <w:t>applicable, have agreed to such consent, waiver or amendment, then any Lender who does not agree to such consent, waiver or amendment shall be deemed a “</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120" w:firstLine="1497"/>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9"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3.08 Survival. 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Commitments, repayment of all other Obligations hereunder and resignation of the Administrative Agent.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IV</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 to Credit Extensions</w:t>
      </w:r>
    </w:p>
    <w:p>
      <w:pPr>
        <w:spacing w:after="0" w:line="220"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SECTION 4.01 Conditions to Credit Extensions on Closing Date. The obligation of each Lender to make a Credit Extension hereunder on the Closing Date is subject to satisfaction (or waiver) of the following conditions precedent, except as otherwise agreed between the Borrower and the Administrative Agent:</w:t>
      </w:r>
    </w:p>
    <w:p>
      <w:pPr>
        <w:spacing w:after="0" w:line="174" w:lineRule="exact"/>
        <w:rPr>
          <w:sz w:val="20"/>
          <w:szCs w:val="20"/>
          <w:color w:val="auto"/>
        </w:rPr>
      </w:pPr>
    </w:p>
    <w:p>
      <w:pPr>
        <w:ind w:firstLine="1505"/>
        <w:spacing w:after="0" w:line="264" w:lineRule="auto"/>
        <w:tabs>
          <w:tab w:leader="none" w:pos="1893"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Agent’s receipt of the following, each of which shall be originals, facsimiles or copies in “.pdf” format unless otherwise specified, each properly executed by a Responsible Officer of the signing Loan Party (other than in the case of </w:t>
      </w:r>
      <w:r>
        <w:rPr>
          <w:rFonts w:ascii="Times New Roman" w:cs="Times New Roman" w:eastAsia="Times New Roman" w:hAnsi="Times New Roman"/>
          <w:sz w:val="19"/>
          <w:szCs w:val="19"/>
          <w:u w:val="single" w:color="auto"/>
          <w:color w:val="auto"/>
        </w:rPr>
        <w:t>clause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(1)(d)</w:t>
      </w:r>
      <w:r>
        <w:rPr>
          <w:rFonts w:ascii="Times New Roman" w:cs="Times New Roman" w:eastAsia="Times New Roman" w:hAnsi="Times New Roman"/>
          <w:sz w:val="20"/>
          <w:szCs w:val="20"/>
          <w:color w:val="auto"/>
        </w:rPr>
        <w:t xml:space="preserve"> (with respect to certificates of good standing), </w:t>
      </w:r>
      <w:r>
        <w:rPr>
          <w:rFonts w:ascii="Times New Roman" w:cs="Times New Roman" w:eastAsia="Times New Roman" w:hAnsi="Times New Roman"/>
          <w:sz w:val="20"/>
          <w:szCs w:val="20"/>
          <w:u w:val="single" w:color="auto"/>
          <w:color w:val="auto"/>
        </w:rPr>
        <w:t>(1)(e)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(1)(f)</w:t>
      </w:r>
      <w:r>
        <w:rPr>
          <w:rFonts w:ascii="Times New Roman" w:cs="Times New Roman" w:eastAsia="Times New Roman" w:hAnsi="Times New Roman"/>
          <w:sz w:val="20"/>
          <w:szCs w:val="20"/>
          <w:color w:val="auto"/>
        </w:rPr>
        <w:t xml:space="preserve"> below):</w:t>
      </w:r>
    </w:p>
    <w:p>
      <w:pPr>
        <w:spacing w:after="0" w:line="193" w:lineRule="exact"/>
        <w:rPr>
          <w:rFonts w:ascii="Times New Roman" w:cs="Times New Roman" w:eastAsia="Times New Roman" w:hAnsi="Times New Roman"/>
          <w:sz w:val="19"/>
          <w:szCs w:val="19"/>
          <w:color w:val="auto"/>
        </w:rPr>
      </w:pPr>
    </w:p>
    <w:p>
      <w:pPr>
        <w:ind w:left="2280" w:hanging="400"/>
        <w:spacing w:after="0"/>
        <w:tabs>
          <w:tab w:leader="none" w:pos="228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Committed Loan Notice;</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the Fee Letter and the Guaranty;</w:t>
      </w:r>
    </w:p>
    <w:p>
      <w:pPr>
        <w:spacing w:after="0" w:line="215" w:lineRule="exact"/>
        <w:rPr>
          <w:rFonts w:ascii="Times New Roman" w:cs="Times New Roman" w:eastAsia="Times New Roman" w:hAnsi="Times New Roman"/>
          <w:sz w:val="20"/>
          <w:szCs w:val="20"/>
          <w:color w:val="auto"/>
        </w:rPr>
      </w:pPr>
    </w:p>
    <w:p>
      <w:pPr>
        <w:ind w:right="580" w:firstLine="1880"/>
        <w:spacing w:after="0" w:line="269" w:lineRule="auto"/>
        <w:tabs>
          <w:tab w:leader="none" w:pos="2268"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Collateral Document set forth on </w:t>
      </w:r>
      <w:r>
        <w:rPr>
          <w:rFonts w:ascii="Times New Roman" w:cs="Times New Roman" w:eastAsia="Times New Roman" w:hAnsi="Times New Roman"/>
          <w:sz w:val="20"/>
          <w:szCs w:val="20"/>
          <w:u w:val="single" w:color="auto"/>
          <w:color w:val="auto"/>
        </w:rPr>
        <w:t>Schedule 4.01(1)(c)</w:t>
      </w:r>
      <w:r>
        <w:rPr>
          <w:rFonts w:ascii="Times New Roman" w:cs="Times New Roman" w:eastAsia="Times New Roman" w:hAnsi="Times New Roman"/>
          <w:sz w:val="20"/>
          <w:szCs w:val="20"/>
          <w:color w:val="auto"/>
        </w:rPr>
        <w:t xml:space="preserve"> required to be executed on the Closing Date as indicated on such schedule, duly executed by each Loan Party that is party thereto;</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w:t>
      </w:r>
      <w:r>
        <w:rPr>
          <w:rFonts w:ascii="Times New Roman" w:cs="Times New Roman" w:eastAsia="Times New Roman" w:hAnsi="Times New Roman"/>
          <w:sz w:val="20"/>
          <w:szCs w:val="20"/>
          <w:u w:val="single" w:color="auto"/>
          <w:color w:val="auto"/>
        </w:rPr>
        <w:t>6.12(2)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340" w:firstLine="1505"/>
        <w:spacing w:after="0" w:line="254" w:lineRule="auto"/>
        <w:tabs>
          <w:tab w:leader="none" w:pos="1893"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if any, representing the Pledged Collateral that is certificated equity of the Borrower and the Loan Parties’ wholly owned Material Domestic Subsidiaries that are Restricted Subsidiaries accompanied by undated stock powers executed in blank; and</w:t>
      </w:r>
    </w:p>
    <w:p>
      <w:pPr>
        <w:spacing w:after="0" w:line="174" w:lineRule="exact"/>
        <w:rPr>
          <w:rFonts w:ascii="Times New Roman" w:cs="Times New Roman" w:eastAsia="Times New Roman" w:hAnsi="Times New Roman"/>
          <w:sz w:val="20"/>
          <w:szCs w:val="20"/>
          <w:color w:val="auto"/>
        </w:rPr>
      </w:pPr>
    </w:p>
    <w:p>
      <w:pPr>
        <w:ind w:right="60" w:firstLine="1505"/>
        <w:spacing w:after="0" w:line="249" w:lineRule="auto"/>
        <w:tabs>
          <w:tab w:leader="none" w:pos="1893"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UCC-1 financing statements in the appropriate jurisdiction or jurisdictions for each Loan Party that the Administrative Agent and the Collateral Agent may deem reasonably necessary to satisfy the Collateral and Guarantee Requirement shall have been provided for, and arrangements for the filing thereof in a manner reasonably satisfactory to the Administrative Agent shall have been made;</w:t>
      </w:r>
    </w:p>
    <w:p>
      <w:pPr>
        <w:spacing w:after="0" w:line="179" w:lineRule="exact"/>
        <w:rPr>
          <w:rFonts w:ascii="Times New Roman" w:cs="Times New Roman" w:eastAsia="Times New Roman" w:hAnsi="Times New Roman"/>
          <w:sz w:val="20"/>
          <w:szCs w:val="20"/>
          <w:color w:val="auto"/>
        </w:rPr>
      </w:pPr>
    </w:p>
    <w:p>
      <w:pPr>
        <w:ind w:right="60" w:firstLine="1880"/>
        <w:spacing w:after="0" w:line="249" w:lineRule="auto"/>
        <w:tabs>
          <w:tab w:leader="none" w:pos="2268"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good standing from the secretary of state of the state of organization of each Loan Party (to the extent such concept exists in such jurisdiction), customary certificates of resolutions or other action, incumbency certificates or other certificates of Responsible Officers of each Loan Party certifying true and complete copies of the Organizational Documents attached thereto and evidencing the identity, authority and capacity of each Responsible Officer thereof</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1" w:name="page272"/>
    <w:bookmarkEnd w:id="271"/>
    <w:p>
      <w:pPr>
        <w:ind w:right="260"/>
        <w:spacing w:after="0" w:line="269" w:lineRule="auto"/>
        <w:rPr>
          <w:sz w:val="20"/>
          <w:szCs w:val="20"/>
          <w:color w:val="auto"/>
        </w:rPr>
      </w:pPr>
      <w:r>
        <w:rPr>
          <w:rFonts w:ascii="Times New Roman" w:cs="Times New Roman" w:eastAsia="Times New Roman" w:hAnsi="Times New Roman"/>
          <w:sz w:val="20"/>
          <w:szCs w:val="20"/>
          <w:color w:val="auto"/>
        </w:rPr>
        <w:t>authorized to act as a Responsible Officer in connection with this Agreement and the other Loan Documents to which such Loan Party is a party or is to be a party on the Closing Date;</w:t>
      </w:r>
    </w:p>
    <w:p>
      <w:pPr>
        <w:spacing w:after="0" w:line="159" w:lineRule="exact"/>
        <w:rPr>
          <w:sz w:val="20"/>
          <w:szCs w:val="20"/>
          <w:color w:val="auto"/>
        </w:rPr>
      </w:pPr>
    </w:p>
    <w:p>
      <w:pPr>
        <w:ind w:right="80" w:firstLine="1880"/>
        <w:spacing w:after="0" w:line="269" w:lineRule="auto"/>
        <w:tabs>
          <w:tab w:leader="none" w:pos="2268"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customary legal opinion from (i) Ropes &amp; Gray LLP, counsel to the Loan Parties and (ii) each local counsel to the Loan Parties listed on </w:t>
      </w:r>
      <w:r>
        <w:rPr>
          <w:rFonts w:ascii="Times New Roman" w:cs="Times New Roman" w:eastAsia="Times New Roman" w:hAnsi="Times New Roman"/>
          <w:sz w:val="20"/>
          <w:szCs w:val="20"/>
          <w:u w:val="single" w:color="auto"/>
          <w:color w:val="auto"/>
        </w:rPr>
        <w:t>Schedule 4.01(1)(f)</w:t>
      </w:r>
      <w:r>
        <w:rPr>
          <w:rFonts w:ascii="Times New Roman" w:cs="Times New Roman" w:eastAsia="Times New Roman" w:hAnsi="Times New Roman"/>
          <w:sz w:val="20"/>
          <w:szCs w:val="20"/>
          <w:color w:val="auto"/>
        </w:rPr>
        <w:t xml:space="preserve"> in the jurisdictions indicated on such schedule;</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Responsible Officer of the Borrower certifying that the conditions set forth in </w:t>
      </w:r>
      <w:r>
        <w:rPr>
          <w:rFonts w:ascii="Times New Roman" w:cs="Times New Roman" w:eastAsia="Times New Roman" w:hAnsi="Times New Roman"/>
          <w:sz w:val="20"/>
          <w:szCs w:val="20"/>
          <w:u w:val="single" w:color="auto"/>
          <w:color w:val="auto"/>
        </w:rPr>
        <w:t>Section 4.01(5)</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satisfied;</w:t>
      </w:r>
    </w:p>
    <w:p>
      <w:pPr>
        <w:spacing w:after="0" w:line="193"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counterparts of the Master Agreement for Documentary Letters of Credit and the Master Agreement for</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Standby Letters of Credit;</w:t>
      </w:r>
    </w:p>
    <w:p>
      <w:pPr>
        <w:spacing w:after="0" w:line="193" w:lineRule="exact"/>
        <w:rPr>
          <w:rFonts w:ascii="Times New Roman" w:cs="Times New Roman" w:eastAsia="Times New Roman" w:hAnsi="Times New Roman"/>
          <w:sz w:val="19"/>
          <w:szCs w:val="19"/>
          <w:color w:val="auto"/>
        </w:rPr>
      </w:pPr>
    </w:p>
    <w:p>
      <w:pPr>
        <w:ind w:right="840" w:firstLine="1880"/>
        <w:spacing w:after="0" w:line="269" w:lineRule="auto"/>
        <w:tabs>
          <w:tab w:leader="none" w:pos="2268"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solvency certificate from a Financial Officer of the Borrower (after giving effect to the Transactions) substantially in the form attached hereto as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Perfection Certificate.</w:t>
      </w:r>
    </w:p>
    <w:p>
      <w:pPr>
        <w:spacing w:after="0" w:line="215" w:lineRule="exact"/>
        <w:rPr>
          <w:rFonts w:ascii="Times New Roman" w:cs="Times New Roman" w:eastAsia="Times New Roman" w:hAnsi="Times New Roman"/>
          <w:sz w:val="20"/>
          <w:szCs w:val="20"/>
          <w:color w:val="auto"/>
        </w:rPr>
      </w:pPr>
    </w:p>
    <w:p>
      <w:pPr>
        <w:ind w:right="180" w:firstLine="1505"/>
        <w:spacing w:after="0" w:line="269" w:lineRule="auto"/>
        <w:tabs>
          <w:tab w:leader="none" w:pos="1893"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from the application of the proceeds therefrom on the Closing Date.</w:t>
      </w:r>
    </w:p>
    <w:p>
      <w:pPr>
        <w:spacing w:after="0" w:line="159" w:lineRule="exact"/>
        <w:rPr>
          <w:rFonts w:ascii="Times New Roman" w:cs="Times New Roman" w:eastAsia="Times New Roman" w:hAnsi="Times New Roman"/>
          <w:sz w:val="20"/>
          <w:szCs w:val="20"/>
          <w:color w:val="auto"/>
        </w:rPr>
      </w:pPr>
    </w:p>
    <w:p>
      <w:pPr>
        <w:ind w:right="320" w:firstLine="1505"/>
        <w:spacing w:after="0" w:line="263" w:lineRule="auto"/>
        <w:tabs>
          <w:tab w:leader="none" w:pos="1893"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at least two (2) Business Days prior to the Closing Date all documentation and other information in respect of the Borrower and the Guarantors (including, if the Borrower qualifies as a “legal entity customer” under the Beneficial Ownership Regulation, a Beneficial Ownership Certification in respect of the Borrower) required under applicable “know your customer” and anti-money laundering rules and regulations (including the USA PATRIOT Act and Beneficial Ownership Regulations) that has been reasonably requested in writing by it at least ten (10) Business Days prior to the Closing Date.</w:t>
      </w:r>
    </w:p>
    <w:p>
      <w:pPr>
        <w:spacing w:after="0" w:line="166" w:lineRule="exact"/>
        <w:rPr>
          <w:rFonts w:ascii="Times New Roman" w:cs="Times New Roman" w:eastAsia="Times New Roman" w:hAnsi="Times New Roman"/>
          <w:sz w:val="19"/>
          <w:szCs w:val="19"/>
          <w:color w:val="auto"/>
        </w:rPr>
      </w:pPr>
    </w:p>
    <w:p>
      <w:pPr>
        <w:ind w:right="140" w:firstLine="1505"/>
        <w:spacing w:after="0" w:line="269" w:lineRule="auto"/>
        <w:tabs>
          <w:tab w:leader="none" w:pos="1893"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any Letter of Credit is to be issued on the Closing Date, the relevant Issuing Bank, shall have received a Request for Credit Extension in accordance with the requirements hereof.</w:t>
      </w:r>
    </w:p>
    <w:p>
      <w:pPr>
        <w:spacing w:after="0" w:line="159" w:lineRule="exact"/>
        <w:rPr>
          <w:rFonts w:ascii="Times New Roman" w:cs="Times New Roman" w:eastAsia="Times New Roman" w:hAnsi="Times New Roman"/>
          <w:sz w:val="20"/>
          <w:szCs w:val="20"/>
          <w:color w:val="auto"/>
        </w:rPr>
      </w:pPr>
    </w:p>
    <w:p>
      <w:pPr>
        <w:ind w:right="60" w:firstLine="1505"/>
        <w:spacing w:after="0" w:line="246" w:lineRule="auto"/>
        <w:tabs>
          <w:tab w:leader="none" w:pos="1893"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Borrower contained in Article V or any other Loan Document shall be true and correct in all material respects on and as of the Closing Date</w:t>
      </w:r>
      <w:r>
        <w:rPr>
          <w:rFonts w:ascii="Times New Roman" w:cs="Times New Roman" w:eastAsia="Times New Roman" w:hAnsi="Times New Roman"/>
          <w:sz w:val="20"/>
          <w:szCs w:val="20"/>
          <w:i w:val="1"/>
          <w:iCs w:val="1"/>
          <w:color w:val="auto"/>
        </w:rPr>
        <w:t>; 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4" w:lineRule="exact"/>
        <w:rPr>
          <w:rFonts w:ascii="Times New Roman" w:cs="Times New Roman" w:eastAsia="Times New Roman" w:hAnsi="Times New Roman"/>
          <w:sz w:val="20"/>
          <w:szCs w:val="20"/>
          <w:color w:val="auto"/>
        </w:rPr>
      </w:pPr>
    </w:p>
    <w:p>
      <w:pPr>
        <w:ind w:right="80" w:firstLine="1505"/>
        <w:spacing w:after="0" w:line="254" w:lineRule="auto"/>
        <w:tabs>
          <w:tab w:leader="none" w:pos="1893"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(in the case of expenses, to the extent invoiced at least three (3) Business Days prior to the Closing Date (except as otherwise reasonably agreed by the Borrower)) required to be paid hereunder and the Fee Letter on the Closing Date shall have been paid, or shall be paid substantially concurrently with the initial Borrowing on the Closing Date.</w:t>
      </w:r>
    </w:p>
    <w:p>
      <w:pPr>
        <w:spacing w:after="0" w:line="174" w:lineRule="exact"/>
        <w:rPr>
          <w:rFonts w:ascii="Times New Roman" w:cs="Times New Roman" w:eastAsia="Times New Roman" w:hAnsi="Times New Roman"/>
          <w:sz w:val="20"/>
          <w:szCs w:val="20"/>
          <w:color w:val="auto"/>
        </w:rPr>
      </w:pPr>
    </w:p>
    <w:p>
      <w:pPr>
        <w:ind w:right="80" w:firstLine="1505"/>
        <w:spacing w:after="0" w:line="269" w:lineRule="auto"/>
        <w:tabs>
          <w:tab w:leader="none" w:pos="1893"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Date Refinancing shall have been consummated or, substantially concurrently with the borrowing of the Closing Date Term Loans, shall be consummated.</w:t>
      </w:r>
    </w:p>
    <w:p>
      <w:pPr>
        <w:spacing w:after="0" w:line="159"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2" w:name="page273"/>
    <w:bookmarkEnd w:id="272"/>
    <w:p>
      <w:pPr>
        <w:jc w:val="both"/>
        <w:ind w:right="240"/>
        <w:spacing w:after="0" w:line="254" w:lineRule="auto"/>
        <w:rPr>
          <w:sz w:val="20"/>
          <w:szCs w:val="20"/>
          <w:color w:val="auto"/>
        </w:rPr>
      </w:pPr>
      <w:r>
        <w:rPr>
          <w:rFonts w:ascii="Times New Roman" w:cs="Times New Roman" w:eastAsia="Times New Roman" w:hAnsi="Times New Roman"/>
          <w:sz w:val="20"/>
          <w:szCs w:val="20"/>
          <w:color w:val="auto"/>
        </w:rPr>
        <w:t>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SECTION 4.02 Conditions to Credit Extensions after the Closing Date. The obligation of each Lender to honor any Request for Credit Extension (other than a Committed Loan Notice requesting only a conversion of Loans to the other Type, a continuation of Term Benchmark Rate Loans or a Borrowing pursuant to any Incremental Amendment) after the Closing Date is subject to the following conditions precedent (which, in the case of a Credit Extension under the Revolving Commitment, may be waived in the sole discretion of the Required Revolving Lenders):</w:t>
      </w:r>
    </w:p>
    <w:p>
      <w:pPr>
        <w:spacing w:after="0" w:line="185" w:lineRule="exact"/>
        <w:rPr>
          <w:sz w:val="20"/>
          <w:szCs w:val="20"/>
          <w:color w:val="auto"/>
        </w:rPr>
      </w:pPr>
    </w:p>
    <w:p>
      <w:pPr>
        <w:ind w:right="100" w:firstLine="1505"/>
        <w:spacing w:after="0" w:line="246" w:lineRule="auto"/>
        <w:tabs>
          <w:tab w:leader="none" w:pos="189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Borrower contained in Article V or any other Loan Document shall be true and correct in all material respects on and as of the date of such Credit Extension</w:t>
      </w:r>
      <w:r>
        <w:rPr>
          <w:rFonts w:ascii="Times New Roman" w:cs="Times New Roman" w:eastAsia="Times New Roman" w:hAnsi="Times New Roman"/>
          <w:sz w:val="20"/>
          <w:szCs w:val="20"/>
          <w:i w:val="1"/>
          <w:iCs w:val="1"/>
          <w:color w:val="auto"/>
        </w:rPr>
        <w:t>; 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from the application of the proceeds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therefrom.</w:t>
      </w:r>
    </w:p>
    <w:p>
      <w:pPr>
        <w:spacing w:after="0" w:line="193" w:lineRule="exact"/>
        <w:rPr>
          <w:rFonts w:ascii="Times New Roman" w:cs="Times New Roman" w:eastAsia="Times New Roman" w:hAnsi="Times New Roman"/>
          <w:sz w:val="20"/>
          <w:szCs w:val="20"/>
          <w:color w:val="auto"/>
        </w:rPr>
      </w:pPr>
    </w:p>
    <w:p>
      <w:pPr>
        <w:ind w:right="160" w:firstLine="1505"/>
        <w:spacing w:after="0" w:line="269" w:lineRule="auto"/>
        <w:tabs>
          <w:tab w:leader="none" w:pos="189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relevant Issuing Bank or the Swing Line Lender (as applicable) shall have received a Request for Credit Extension in accordance with the requirements hereof.</w:t>
      </w:r>
    </w:p>
    <w:p>
      <w:pPr>
        <w:spacing w:after="0" w:line="159" w:lineRule="exact"/>
        <w:rPr>
          <w:rFonts w:ascii="Times New Roman" w:cs="Times New Roman" w:eastAsia="Times New Roman" w:hAnsi="Times New Roman"/>
          <w:sz w:val="20"/>
          <w:szCs w:val="20"/>
          <w:color w:val="auto"/>
        </w:rPr>
      </w:pPr>
    </w:p>
    <w:p>
      <w:pPr>
        <w:ind w:right="60" w:firstLine="1505"/>
        <w:spacing w:after="0" w:line="254" w:lineRule="auto"/>
        <w:tabs>
          <w:tab w:leader="none" w:pos="189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in respect of Credit Extensions under the Revolving Facility, after giving effect to any Revolving Loan (or the incurrence of any L/C Obligations), the aggregate outstanding amount of the Revolving Loans would not exceed the aggregate Revolving Commitments then in effect.</w:t>
      </w:r>
    </w:p>
    <w:p>
      <w:pPr>
        <w:spacing w:after="0" w:line="174"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Committed Loan Notice requesting only a conversion of Loans to the other Type, a continuation of Term Benchmark Rate Loans or a Borrowing pursuant to an Incremental Amendment) submitted by the Borrower after the Closing Date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4.02(2)</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In addition, solely to the extent the Borrower has delivered to the Administrative Agent a Notice of Intent to Cure pursuant to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no request for a Credit Extension shall be honored after delivery of such notice until the applicable Cure Amount specified in such notice is actually received by the Borrower. For the avoidance of doubt, the preceding sentence shall have no effect on the continuation or conversion of any Loans outstanding.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20" w:lineRule="exact"/>
        <w:rPr>
          <w:sz w:val="20"/>
          <w:szCs w:val="20"/>
          <w:color w:val="auto"/>
        </w:rPr>
      </w:pPr>
    </w:p>
    <w:p>
      <w:pPr>
        <w:ind w:right="10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The Borrower and, in respect of </w:t>
      </w:r>
      <w:r>
        <w:rPr>
          <w:rFonts w:ascii="Times New Roman" w:cs="Times New Roman" w:eastAsia="Times New Roman" w:hAnsi="Times New Roman"/>
          <w:sz w:val="20"/>
          <w:szCs w:val="20"/>
          <w:u w:val="single" w:color="auto"/>
          <w:color w:val="auto"/>
        </w:rPr>
        <w:t>Sections 5.01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5.20</w:t>
      </w:r>
      <w:r>
        <w:rPr>
          <w:rFonts w:ascii="Times New Roman" w:cs="Times New Roman" w:eastAsia="Times New Roman" w:hAnsi="Times New Roman"/>
          <w:sz w:val="20"/>
          <w:szCs w:val="20"/>
          <w:color w:val="auto"/>
        </w:rPr>
        <w:t xml:space="preserve"> only, Holdings, represent and warrant to the Administrative Agent and the Lenders on the Closing Date (after giving effect to the Transactions) and at the time of each Credit Extension (solely to the extent required to</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3" w:name="page274"/>
    <w:bookmarkEnd w:id="273"/>
    <w:p>
      <w:pPr>
        <w:ind w:right="580"/>
        <w:spacing w:after="0" w:line="269" w:lineRule="auto"/>
        <w:rPr>
          <w:sz w:val="20"/>
          <w:szCs w:val="20"/>
          <w:color w:val="auto"/>
        </w:rPr>
      </w:pPr>
      <w:r>
        <w:rPr>
          <w:rFonts w:ascii="Times New Roman" w:cs="Times New Roman" w:eastAsia="Times New Roman" w:hAnsi="Times New Roman"/>
          <w:sz w:val="20"/>
          <w:szCs w:val="20"/>
          <w:color w:val="auto"/>
        </w:rPr>
        <w:t>be true and correct for such Credit Extension pursuant to the terms hereof) or as otherwise required hereunder or under any other Loan Document:</w:t>
      </w:r>
    </w:p>
    <w:p>
      <w:pPr>
        <w:spacing w:after="0" w:line="159"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SECTION 5.01 Existence, Qualification and Power; Compliance with Laws. Each Loan Party and each of its respective Restricted Subsidiaries that is a Material Subsidiary (and, in the case of clauses (4) and (5) below, each Affiliated Practice):</w:t>
      </w:r>
    </w:p>
    <w:p>
      <w:pPr>
        <w:spacing w:after="0" w:line="159" w:lineRule="exact"/>
        <w:rPr>
          <w:sz w:val="20"/>
          <w:szCs w:val="20"/>
          <w:color w:val="auto"/>
        </w:rPr>
      </w:pPr>
    </w:p>
    <w:p>
      <w:pPr>
        <w:ind w:right="220" w:firstLine="1505"/>
        <w:spacing w:after="0" w:line="269" w:lineRule="auto"/>
        <w:tabs>
          <w:tab w:leader="none" w:pos="1893"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Person duly organized or formed, validly existing and in good standing under the Laws of the jurisdiction of its incorporation or organization (to the extent such concept exists in such jurisdiction),</w:t>
      </w:r>
    </w:p>
    <w:p>
      <w:pPr>
        <w:spacing w:after="0" w:line="159" w:lineRule="exact"/>
        <w:rPr>
          <w:rFonts w:ascii="Times New Roman" w:cs="Times New Roman" w:eastAsia="Times New Roman" w:hAnsi="Times New Roman"/>
          <w:sz w:val="20"/>
          <w:szCs w:val="20"/>
          <w:color w:val="auto"/>
        </w:rPr>
      </w:pPr>
    </w:p>
    <w:p>
      <w:pPr>
        <w:ind w:right="60" w:firstLine="1505"/>
        <w:spacing w:after="0" w:line="254" w:lineRule="auto"/>
        <w:tabs>
          <w:tab w:leader="none" w:pos="1893"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all corporate or other organizational power and authority to (a) own or lease its assets and carry on its business as currently conducted and (b) in the case of the Loan Parties, execute, deliver and perform its obligations under the Loan Documents to which it is a party,</w:t>
      </w:r>
    </w:p>
    <w:p>
      <w:pPr>
        <w:spacing w:after="0" w:line="174" w:lineRule="exact"/>
        <w:rPr>
          <w:rFonts w:ascii="Times New Roman" w:cs="Times New Roman" w:eastAsia="Times New Roman" w:hAnsi="Times New Roman"/>
          <w:sz w:val="20"/>
          <w:szCs w:val="20"/>
          <w:color w:val="auto"/>
        </w:rPr>
      </w:pPr>
    </w:p>
    <w:p>
      <w:pPr>
        <w:ind w:right="240" w:firstLine="1505"/>
        <w:spacing w:after="0" w:line="269" w:lineRule="auto"/>
        <w:tabs>
          <w:tab w:leader="none" w:pos="1893"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duly qualified and in good standing (to the extent such concept exists) under the Laws of each jurisdiction where its ownership, lease or operation of properties or the conduct of its business as currently conducted requires such qualification,</w:t>
      </w:r>
    </w:p>
    <w:p>
      <w:pPr>
        <w:spacing w:after="0" w:line="159" w:lineRule="exact"/>
        <w:rPr>
          <w:rFonts w:ascii="Times New Roman" w:cs="Times New Roman" w:eastAsia="Times New Roman" w:hAnsi="Times New Roman"/>
          <w:sz w:val="20"/>
          <w:szCs w:val="20"/>
          <w:color w:val="auto"/>
        </w:rPr>
      </w:pPr>
    </w:p>
    <w:p>
      <w:pPr>
        <w:ind w:right="500" w:firstLine="1505"/>
        <w:spacing w:after="0" w:line="269" w:lineRule="auto"/>
        <w:tabs>
          <w:tab w:leader="none" w:pos="1893"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compliance with all applicable Laws orders, writs, injunctions and orders (including with the United States Foreign Corrupt Practices Act of 1977 (the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and the USA PATRIOT Act),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all requisite governmental licenses, authorizations, consents and approvals to operate its business as currently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conducted,</w:t>
      </w:r>
    </w:p>
    <w:p>
      <w:pPr>
        <w:spacing w:after="0" w:line="1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 xml:space="preserve">except, in each case referred to in the preceding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(with respect to the good standing of a Person other than the Borrower or Holdings), </w:t>
      </w:r>
      <w:r>
        <w:rPr>
          <w:rFonts w:ascii="Times New Roman" w:cs="Times New Roman" w:eastAsia="Times New Roman" w:hAnsi="Times New Roman"/>
          <w:sz w:val="20"/>
          <w:szCs w:val="20"/>
          <w:u w:val="single" w:color="auto"/>
          <w:color w:val="auto"/>
        </w:rPr>
        <w:t>(2)(a)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to the extent that failure to do so would not reasonably be expected to have, individually or in the aggregate, a Material Adverse Effect.</w:t>
      </w:r>
    </w:p>
    <w:p>
      <w:pPr>
        <w:spacing w:after="0" w:line="17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5.02</w:t>
      </w:r>
      <w:r>
        <w:rPr>
          <w:sz w:val="20"/>
          <w:szCs w:val="20"/>
          <w:color w:val="auto"/>
        </w:rPr>
        <w:tab/>
      </w:r>
      <w:r>
        <w:rPr>
          <w:rFonts w:ascii="Times New Roman" w:cs="Times New Roman" w:eastAsia="Times New Roman" w:hAnsi="Times New Roman"/>
          <w:sz w:val="19"/>
          <w:szCs w:val="19"/>
          <w:color w:val="auto"/>
        </w:rPr>
        <w:t>Authorization; No Contravention.</w:t>
      </w:r>
    </w:p>
    <w:p>
      <w:pPr>
        <w:spacing w:after="0" w:line="216" w:lineRule="exact"/>
        <w:rPr>
          <w:sz w:val="20"/>
          <w:szCs w:val="20"/>
          <w:color w:val="auto"/>
        </w:rPr>
      </w:pPr>
    </w:p>
    <w:p>
      <w:pPr>
        <w:ind w:right="40" w:firstLine="1505"/>
        <w:spacing w:after="0" w:line="269" w:lineRule="auto"/>
        <w:tabs>
          <w:tab w:leader="none" w:pos="1893"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such Person is a party have been duly authorized by all necessary corporate or other organizational action.</w:t>
      </w:r>
    </w:p>
    <w:p>
      <w:pPr>
        <w:spacing w:after="0" w:line="159" w:lineRule="exact"/>
        <w:rPr>
          <w:rFonts w:ascii="Times New Roman" w:cs="Times New Roman" w:eastAsia="Times New Roman" w:hAnsi="Times New Roman"/>
          <w:sz w:val="20"/>
          <w:szCs w:val="20"/>
          <w:color w:val="auto"/>
        </w:rPr>
      </w:pPr>
    </w:p>
    <w:p>
      <w:pPr>
        <w:ind w:right="320" w:firstLine="1505"/>
        <w:spacing w:after="0" w:line="254" w:lineRule="auto"/>
        <w:tabs>
          <w:tab w:leader="none" w:pos="1893"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 of the execution, delivery and performance by each Loan Party of each Loan Document, and 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below, the incurrence of Indebtedness and granting of security interests and guarantees thereunder, as applicable, to which such Person is a party will:</w:t>
      </w:r>
    </w:p>
    <w:p>
      <w:pPr>
        <w:spacing w:after="0" w:line="174"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contravene the terms of any of such Person’s Organizational Documents,</w:t>
      </w:r>
    </w:p>
    <w:p>
      <w:pPr>
        <w:spacing w:after="0" w:line="215" w:lineRule="exact"/>
        <w:rPr>
          <w:rFonts w:ascii="Times New Roman" w:cs="Times New Roman" w:eastAsia="Times New Roman" w:hAnsi="Times New Roman"/>
          <w:sz w:val="20"/>
          <w:szCs w:val="20"/>
          <w:color w:val="auto"/>
        </w:rPr>
      </w:pPr>
    </w:p>
    <w:p>
      <w:pPr>
        <w:ind w:right="120" w:firstLine="1880"/>
        <w:spacing w:after="0" w:line="246" w:lineRule="auto"/>
        <w:tabs>
          <w:tab w:leader="none" w:pos="2268"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any breach or contravention of, or the creation of any Lien upon any of the property or assets of such Person or any of the Restricted Subsidiaries (other than as permitted by Section 7.01) under, (i) any Contractual Obligation evidencing Indebtedness having an aggregate principal amount in excess of the Threshold Amount to which such Loan Party is a party or affecting such Loan Party or the properties of such Loan Party or any of its Restricted Subsidiaries or (ii) any order, injunction, writ or decree of any Governmental Authority or any arbitral award to which such Loan Party or its property is subject, or</w:t>
      </w:r>
    </w:p>
    <w:p>
      <w:pPr>
        <w:spacing w:after="0" w:line="184"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 any applicable Law,</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4" w:name="page275"/>
    <w:bookmarkEnd w:id="274"/>
    <w:p>
      <w:pPr>
        <w:ind w:right="260"/>
        <w:spacing w:after="0" w:line="254" w:lineRule="auto"/>
        <w:rPr>
          <w:sz w:val="20"/>
          <w:szCs w:val="20"/>
          <w:color w:val="auto"/>
        </w:rPr>
      </w:pPr>
      <w:r>
        <w:rPr>
          <w:rFonts w:ascii="Times New Roman" w:cs="Times New Roman" w:eastAsia="Times New Roman" w:hAnsi="Times New Roman"/>
          <w:sz w:val="20"/>
          <w:szCs w:val="20"/>
          <w:color w:val="auto"/>
        </w:rPr>
        <w:t xml:space="preserve">except with respect to any breach, contravention or violation (but not creation of Liens) referred to in the preceding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such breach, contravention or violation would not reasonably be expected to have, individually or in the aggregate, a Material Adverse Effect.</w:t>
      </w:r>
    </w:p>
    <w:p>
      <w:pPr>
        <w:spacing w:after="0" w:line="17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5.03</w:t>
      </w:r>
      <w:r>
        <w:rPr>
          <w:sz w:val="20"/>
          <w:szCs w:val="20"/>
          <w:color w:val="auto"/>
        </w:rPr>
        <w:tab/>
      </w:r>
      <w:r>
        <w:rPr>
          <w:rFonts w:ascii="Times New Roman" w:cs="Times New Roman" w:eastAsia="Times New Roman" w:hAnsi="Times New Roman"/>
          <w:sz w:val="19"/>
          <w:szCs w:val="19"/>
          <w:color w:val="auto"/>
        </w:rPr>
        <w:t>Governmental Authorization and Third Party Authorization.</w:t>
      </w:r>
    </w:p>
    <w:p>
      <w:pPr>
        <w:spacing w:after="0" w:line="216" w:lineRule="exact"/>
        <w:rPr>
          <w:sz w:val="20"/>
          <w:szCs w:val="20"/>
          <w:color w:val="auto"/>
        </w:rPr>
      </w:pPr>
    </w:p>
    <w:p>
      <w:pPr>
        <w:ind w:right="180" w:firstLine="1505"/>
        <w:spacing w:after="0" w:line="254" w:lineRule="auto"/>
        <w:tabs>
          <w:tab w:leader="none" w:pos="1893"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except for:</w:t>
      </w:r>
    </w:p>
    <w:p>
      <w:pPr>
        <w:spacing w:after="0" w:line="174"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filings and registrations necessary to perfect the Liens on the Collateral granted by the Loan Parties in favor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Parties,</w:t>
      </w:r>
    </w:p>
    <w:p>
      <w:pPr>
        <w:spacing w:after="0" w:line="193" w:lineRule="exact"/>
        <w:rPr>
          <w:rFonts w:ascii="Times New Roman" w:cs="Times New Roman" w:eastAsia="Times New Roman" w:hAnsi="Times New Roman"/>
          <w:sz w:val="20"/>
          <w:szCs w:val="20"/>
          <w:color w:val="auto"/>
        </w:rPr>
      </w:pPr>
    </w:p>
    <w:p>
      <w:pPr>
        <w:ind w:right="100" w:firstLine="1880"/>
        <w:spacing w:after="0" w:line="254" w:lineRule="auto"/>
        <w:tabs>
          <w:tab w:leader="none" w:pos="2268"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approvals, consents, exemptions, authorizations, actions, notices and filings that have been duly obtained, taken, given or made and are in full force and effect (except to the extent not required to be obtained, taken, given or made or not required to be in full force and effect pursuant to the Collateral and Guarantee Requirement), and</w:t>
      </w:r>
    </w:p>
    <w:p>
      <w:pPr>
        <w:spacing w:after="0" w:line="174" w:lineRule="exact"/>
        <w:rPr>
          <w:rFonts w:ascii="Times New Roman" w:cs="Times New Roman" w:eastAsia="Times New Roman" w:hAnsi="Times New Roman"/>
          <w:sz w:val="20"/>
          <w:szCs w:val="20"/>
          <w:color w:val="auto"/>
        </w:rPr>
      </w:pPr>
    </w:p>
    <w:p>
      <w:pPr>
        <w:ind w:right="160" w:firstLine="1880"/>
        <w:spacing w:after="0" w:line="269" w:lineRule="auto"/>
        <w:tabs>
          <w:tab w:leader="none" w:pos="2268"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approvals, consents, exemptions, authorizations or other actions, notices or filings, the failure of which to obtain or make would not reasonably be expected to have, individually or in the aggregate, a Material Adverse Effect.</w:t>
      </w:r>
    </w:p>
    <w:p>
      <w:pPr>
        <w:spacing w:after="0" w:line="159" w:lineRule="exact"/>
        <w:rPr>
          <w:rFonts w:ascii="Times New Roman" w:cs="Times New Roman" w:eastAsia="Times New Roman" w:hAnsi="Times New Roman"/>
          <w:sz w:val="20"/>
          <w:szCs w:val="20"/>
          <w:color w:val="auto"/>
        </w:rPr>
      </w:pPr>
    </w:p>
    <w:p>
      <w:pPr>
        <w:ind w:right="20" w:firstLine="1505"/>
        <w:spacing w:after="0" w:line="263" w:lineRule="auto"/>
        <w:tabs>
          <w:tab w:leader="none" w:pos="1893" w:val="left"/>
        </w:tabs>
        <w:numPr>
          <w:ilvl w:val="0"/>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Borrower’s, its Subsidiaries’ and Affiliated Practices’ employees and contractors providing professional medical services to patients is, and has at all times been, while serving in such capacity under employment of or contract with the Borrower, its Subsidiaries or Affiliated Practices (i) duly licensed and certified (as and where required) by each regulatory body having jurisdiction over services rendered by such Person and (ii) eligible (as and where required) to participate in Governmental Programs, in each case, except to the extent that such failure would not reasonably be expected to have a Material Adverse Effect, either individually or in the aggregate.</w:t>
      </w:r>
    </w:p>
    <w:p>
      <w:pPr>
        <w:spacing w:after="0" w:line="16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SECTION 5.04 Binding Effect. This Agreement and each other Loan Document has been duly executed and delivered by each Loan Party that is party hereto or thereto, as applicable. Each Loan Document constitutes a legal, valid and binding obligation of each Loan Party that is party thereto, enforceable against each such Loan Party in accordance with its terms, except as such enforceability may be limited by Debtor Relief Laws, by general principles of equity and principles of good faith and fair dealing.</w:t>
      </w:r>
    </w:p>
    <w:p>
      <w:pPr>
        <w:spacing w:after="0" w:line="18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5.05</w:t>
      </w:r>
      <w:r>
        <w:rPr>
          <w:sz w:val="20"/>
          <w:szCs w:val="20"/>
          <w:color w:val="auto"/>
        </w:rPr>
        <w:tab/>
      </w:r>
      <w:r>
        <w:rPr>
          <w:rFonts w:ascii="Times New Roman" w:cs="Times New Roman" w:eastAsia="Times New Roman" w:hAnsi="Times New Roman"/>
          <w:sz w:val="19"/>
          <w:szCs w:val="19"/>
          <w:color w:val="auto"/>
        </w:rPr>
        <w:t>Financial Statements; No Material Adverse Effect.</w:t>
      </w:r>
    </w:p>
    <w:p>
      <w:pPr>
        <w:spacing w:after="0" w:line="216" w:lineRule="exact"/>
        <w:rPr>
          <w:sz w:val="20"/>
          <w:szCs w:val="20"/>
          <w:color w:val="auto"/>
        </w:rPr>
      </w:pPr>
    </w:p>
    <w:p>
      <w:pPr>
        <w:jc w:val="both"/>
        <w:ind w:right="20" w:firstLine="1505"/>
        <w:spacing w:after="0" w:line="254" w:lineRule="auto"/>
        <w:tabs>
          <w:tab w:leader="none" w:pos="1893"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Historical Financial Statements fairly present in all material respects the financial condition of LifeStance Health Group, Inc. and its Subsidiaries on a consolidated basis as of the date(s) thereof and the results of operations for the period covered thereby in accordance with GAAP consistently applied throughout the periods covered thereby, except as otherwise expressly noted therein.</w:t>
      </w:r>
    </w:p>
    <w:p>
      <w:pPr>
        <w:spacing w:after="0" w:line="174" w:lineRule="exact"/>
        <w:rPr>
          <w:rFonts w:ascii="Times New Roman" w:cs="Times New Roman" w:eastAsia="Times New Roman" w:hAnsi="Times New Roman"/>
          <w:sz w:val="20"/>
          <w:szCs w:val="20"/>
          <w:color w:val="auto"/>
        </w:rPr>
      </w:pPr>
    </w:p>
    <w:p>
      <w:pPr>
        <w:ind w:right="240" w:firstLine="1505"/>
        <w:spacing w:after="0" w:line="269" w:lineRule="auto"/>
        <w:tabs>
          <w:tab w:leader="none" w:pos="1893"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2023, there has been no event or circumstance, either individually or in the aggregate, that has had or would reasonably be expected to have a Material Adverse Effect.</w:t>
      </w:r>
    </w:p>
    <w:p>
      <w:pPr>
        <w:spacing w:after="0" w:line="159"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SECTION 5.06 Litigation. There are no actions, suits, proceedings, claims or disputes pending or, to the knowledge of the Borrower, overtly threatened in writing, at law, in equity, in arbitration</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5" w:name="page276"/>
    <w:bookmarkEnd w:id="275"/>
    <w:p>
      <w:pPr>
        <w:jc w:val="both"/>
        <w:spacing w:after="0" w:line="269" w:lineRule="auto"/>
        <w:rPr>
          <w:sz w:val="20"/>
          <w:szCs w:val="20"/>
          <w:color w:val="auto"/>
        </w:rPr>
      </w:pPr>
      <w:r>
        <w:rPr>
          <w:rFonts w:ascii="Times New Roman" w:cs="Times New Roman" w:eastAsia="Times New Roman" w:hAnsi="Times New Roman"/>
          <w:sz w:val="20"/>
          <w:szCs w:val="20"/>
          <w:color w:val="auto"/>
        </w:rPr>
        <w:t>or before any Governmental Authority, by or against Holdings, the Borrower or any of the Subsidiaries or any Affiliated Practice that would reasonably be expected to have a Material Adverse Effect.</w:t>
      </w:r>
    </w:p>
    <w:p>
      <w:pPr>
        <w:spacing w:after="0" w:line="15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SECTION 5.07 Labor Matters. Except as would not reasonably be expected to have, individually or in the aggregate, a Material Adverse Effect: (1) there are no strikes or other labor disputes against the Borrower or the Restricted Subsidiaries pending or, to the knowledge of the Borrower, threatened in writing and (2) hours worked by and payment made based on hours worked to employees of each of the Borrower or the Restricted Subsidiaries have not been in violation of the Fair Labor Standards Act or any other applicable Laws dealing with wage and hour matters.</w:t>
      </w:r>
    </w:p>
    <w:p>
      <w:pPr>
        <w:spacing w:after="0" w:line="18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5.08 Ownership of Property; Liens. Each Loan Party and each of its respective Restricted Subsidiaries has good and valid record title in fee simple to, or valid leasehold interests in, or easements or other limited property interests in, all real property necessary in the ordinary conduct of its business, free and clear of all Liens except for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and except where the failure to have such title or other interest would not reasonably be expected to have, individually or in the aggregate, a Material Adverse Effect. As of the Closing Date, no Material Real Property is owned by any Loan Party or any of their respective Subsidiaries.</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SECTION 5.09 Environmental Matters. Except as would not reasonably be expected to have, individually or in the aggregate, a Material Adverse Effect: (1) each Loan Party and each of its Restricted Subsidiaries and their respective operations and properties is in compliance with all applicable Environmental Laws; (2) none of the Loan Parties or any of their respective Restricted Subsidiaries is subject to any actions, suits, proceedings, claims or disputes pending or, to the knowledge of the Borrower, threatened in writing relating to any Environmental Liability; and (3) none of the Loan Parties or any of their respective Restricted Subsidiaries has treated, stored, transported or Released Hazardous Materials at or from any currently or, to the knowledge of the Borrower, formerly owned, leased or operated real estate or facility, which could reasonably be expected to give rise to any Environmental Liability.</w:t>
      </w:r>
    </w:p>
    <w:p>
      <w:pPr>
        <w:spacing w:after="0" w:line="18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9"/>
          <w:szCs w:val="19"/>
          <w:color w:val="auto"/>
        </w:rPr>
        <w:t>SECTION 5.10 Taxes. Except as would not, either individually or in the aggregate, reasonably be expected to result in a Material Adverse Effect, each Loan Party and each of its Restricted Subsidiaries has timely filed all tax returns and reports required to be filed, and have timely paid all Taxes (including satisfying its withholding tax obligations) levied or imposed on their properties, income or assets (whether or not shown in a tax return), except those which are being contested in good faith by appropriate actions diligently taken and for which adequate reserves have been provided in accordance with GAAP. There is no proposed Tax assessment, deficiency or other claim against any Loan Party or any of its Restricted Subsidiaries except (1) those being actively contested by a Loan Party or such Restricted Subsidiary in good faith and by appropriate actions diligently taken and for which adequate reserves have been provided in accordance with GAAP or (2) those which would not reasonably be expected to, individually or in the aggregate, have a Material Adverse Effect.</w:t>
      </w:r>
    </w:p>
    <w:p>
      <w:pPr>
        <w:spacing w:after="0" w:line="173"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5.11</w:t>
      </w:r>
      <w:r>
        <w:rPr>
          <w:sz w:val="20"/>
          <w:szCs w:val="20"/>
          <w:color w:val="auto"/>
        </w:rPr>
        <w:tab/>
      </w:r>
      <w:r>
        <w:rPr>
          <w:rFonts w:ascii="Times New Roman" w:cs="Times New Roman" w:eastAsia="Times New Roman" w:hAnsi="Times New Roman"/>
          <w:sz w:val="19"/>
          <w:szCs w:val="19"/>
          <w:color w:val="auto"/>
        </w:rPr>
        <w:t>ERISA Compliance.</w:t>
      </w:r>
    </w:p>
    <w:p>
      <w:pPr>
        <w:spacing w:after="0" w:line="216" w:lineRule="exact"/>
        <w:rPr>
          <w:sz w:val="20"/>
          <w:szCs w:val="20"/>
          <w:color w:val="auto"/>
        </w:rPr>
      </w:pPr>
    </w:p>
    <w:p>
      <w:pPr>
        <w:ind w:right="60" w:firstLine="1505"/>
        <w:spacing w:after="0" w:line="245" w:lineRule="auto"/>
        <w:tabs>
          <w:tab w:leader="none" w:pos="1893"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either individually or in the aggregate, reasonably be expected to result in a Material Adverse Effect: (a) each Plan (and with respect to each Plan, the Borrower and Holdings) is in compliance with the applicable provisions of ERISA, the Code and other federal or state Laws; and (b) each Plan that is intended to be a qualified plan under Section 401(a) of the Code may rely upon an opinion letter for a prototype plan or has received a favorable determination letter from the IRS to the effect that the form of such Plan is qualified under Section 401(a) of the Code and the trust related thereto is exempt from federal income tax under Section 501(a) of the Code.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6" w:name="page277"/>
    <w:bookmarkEnd w:id="276"/>
    <w:p>
      <w:pPr>
        <w:ind w:right="120" w:firstLine="1505"/>
        <w:spacing w:after="0" w:line="249" w:lineRule="auto"/>
        <w:tabs>
          <w:tab w:leader="none" w:pos="1893"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No ERISA Event has occurred or is reasonably expected to occur and (ii) none of the Borrower, Holdings, or any of their respective ERISA Affiliates has engaged in a transaction that would be subject to Sections 4069 or 4212(c) of ERISA, except, with respect to each of the foregoing clauses of this </w:t>
      </w:r>
      <w:r>
        <w:rPr>
          <w:rFonts w:ascii="Times New Roman" w:cs="Times New Roman" w:eastAsia="Times New Roman" w:hAnsi="Times New Roman"/>
          <w:sz w:val="20"/>
          <w:szCs w:val="20"/>
          <w:u w:val="single" w:color="auto"/>
          <w:color w:val="auto"/>
        </w:rPr>
        <w:t>Section 5.11(2)</w:t>
      </w:r>
      <w:r>
        <w:rPr>
          <w:rFonts w:ascii="Times New Roman" w:cs="Times New Roman" w:eastAsia="Times New Roman" w:hAnsi="Times New Roman"/>
          <w:sz w:val="20"/>
          <w:szCs w:val="20"/>
          <w:color w:val="auto"/>
        </w:rPr>
        <w:t>, as would not reasonably be expected, individually or in the aggregate, to result in a Material Adverse Effect.</w:t>
      </w:r>
    </w:p>
    <w:p>
      <w:pPr>
        <w:spacing w:after="0" w:line="179" w:lineRule="exact"/>
        <w:rPr>
          <w:rFonts w:ascii="Times New Roman" w:cs="Times New Roman" w:eastAsia="Times New Roman" w:hAnsi="Times New Roman"/>
          <w:sz w:val="20"/>
          <w:szCs w:val="20"/>
          <w:color w:val="auto"/>
        </w:rPr>
      </w:pPr>
    </w:p>
    <w:p>
      <w:pPr>
        <w:ind w:right="340" w:firstLine="1505"/>
        <w:spacing w:after="0" w:line="249" w:lineRule="auto"/>
        <w:tabs>
          <w:tab w:leader="none" w:pos="1893"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non-compliance or the incurrence of an obligation would not reasonably be expected to result in a Material Adverse Effect: (i) each Foreign Plan has been maintained in compliance with its terms and with the requirements of any and all applicable Laws; and (ii) none of Holdings, the Borrower or any Restricted Subsidiary has incurred any obligation in connection with the termination of or withdrawal from any Foreign Plan.</w:t>
      </w:r>
    </w:p>
    <w:p>
      <w:pPr>
        <w:spacing w:after="0" w:line="18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5.12</w:t>
      </w:r>
      <w:r>
        <w:rPr>
          <w:sz w:val="20"/>
          <w:szCs w:val="20"/>
          <w:color w:val="auto"/>
        </w:rPr>
        <w:tab/>
      </w:r>
      <w:r>
        <w:rPr>
          <w:rFonts w:ascii="Times New Roman" w:cs="Times New Roman" w:eastAsia="Times New Roman" w:hAnsi="Times New Roman"/>
          <w:sz w:val="19"/>
          <w:szCs w:val="19"/>
          <w:color w:val="auto"/>
        </w:rPr>
        <w:t>Subsidiaries.</w:t>
      </w:r>
    </w:p>
    <w:p>
      <w:pPr>
        <w:spacing w:after="0" w:line="216" w:lineRule="exact"/>
        <w:rPr>
          <w:sz w:val="20"/>
          <w:szCs w:val="20"/>
          <w:color w:val="auto"/>
        </w:rPr>
      </w:pPr>
    </w:p>
    <w:p>
      <w:pPr>
        <w:ind w:firstLine="1505"/>
        <w:spacing w:after="0" w:line="246" w:lineRule="auto"/>
        <w:tabs>
          <w:tab w:leader="none" w:pos="1893"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all of the outstanding Equity Interests in the Borrower and its Restricted Subsidiaries have been validly issued and are fully paid and (if applicable) non-assessable, and all Equity Interests that constitute Collateral owned by Holdings in the Borrower, and by the Borrower or any Subsidiary Guarantor in any of their respective Subsidiaries are owned free and clear of all Liens of any person except (a) those Liens created under the Collateral Documents and (b) any non-consensual Lien that is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w:t>
      </w:r>
      <w:r>
        <w:rPr>
          <w:rFonts w:ascii="Times New Roman" w:cs="Times New Roman" w:eastAsia="Times New Roman" w:hAnsi="Times New Roman"/>
          <w:sz w:val="20"/>
          <w:szCs w:val="20"/>
          <w:u w:val="single" w:color="auto"/>
          <w:color w:val="auto"/>
        </w:rPr>
        <w:t>Schedule 5.12</w:t>
      </w:r>
      <w:r>
        <w:rPr>
          <w:rFonts w:ascii="Times New Roman" w:cs="Times New Roman" w:eastAsia="Times New Roman" w:hAnsi="Times New Roman"/>
          <w:sz w:val="20"/>
          <w:szCs w:val="20"/>
          <w:color w:val="auto"/>
        </w:rPr>
        <w:t xml:space="preserve"> sets forth:</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jurisdiction of organization of each Subsidiary, and</w:t>
      </w:r>
    </w:p>
    <w:p>
      <w:pPr>
        <w:spacing w:after="0" w:line="215" w:lineRule="exact"/>
        <w:rPr>
          <w:rFonts w:ascii="Times New Roman" w:cs="Times New Roman" w:eastAsia="Times New Roman" w:hAnsi="Times New Roman"/>
          <w:sz w:val="20"/>
          <w:szCs w:val="20"/>
          <w:color w:val="auto"/>
        </w:rPr>
      </w:pPr>
    </w:p>
    <w:p>
      <w:pPr>
        <w:ind w:right="100" w:firstLine="1880"/>
        <w:spacing w:after="0" w:line="269" w:lineRule="auto"/>
        <w:tabs>
          <w:tab w:leader="none" w:pos="2268"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interests of Holdings in the Borrower and of the Borrower and any Subsidiary of the Borrower in each Subsidiary, including the percentage of such ownership.</w:t>
      </w:r>
    </w:p>
    <w:p>
      <w:pPr>
        <w:spacing w:after="0" w:line="159"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5.13</w:t>
      </w:r>
      <w:r>
        <w:rPr>
          <w:sz w:val="20"/>
          <w:szCs w:val="20"/>
          <w:color w:val="auto"/>
        </w:rPr>
        <w:tab/>
      </w:r>
      <w:r>
        <w:rPr>
          <w:rFonts w:ascii="Times New Roman" w:cs="Times New Roman" w:eastAsia="Times New Roman" w:hAnsi="Times New Roman"/>
          <w:sz w:val="19"/>
          <w:szCs w:val="19"/>
          <w:color w:val="auto"/>
        </w:rPr>
        <w:t>Margin Regulations; Investment Company Act.</w:t>
      </w:r>
    </w:p>
    <w:p>
      <w:pPr>
        <w:spacing w:after="0" w:line="216" w:lineRule="exact"/>
        <w:rPr>
          <w:sz w:val="20"/>
          <w:szCs w:val="20"/>
          <w:color w:val="auto"/>
        </w:rPr>
      </w:pPr>
    </w:p>
    <w:p>
      <w:pPr>
        <w:ind w:right="140" w:firstLine="1505"/>
        <w:spacing w:after="0" w:line="254" w:lineRule="auto"/>
        <w:tabs>
          <w:tab w:leader="none" w:pos="1893"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is engaged nor will it engage, principally or as one of its important activities, in the business of purchasing or carrying Margin Stock (within the meaning of Regulation U issued by the Board of Governors of the Federal Reserve System of the United States), or extending credit for the purpose of purchasing or carrying Margin Stock.</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Date, no proceeds of any Borrowings will be used for any purpose that violates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 U.</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is required to be registered as an “investment company” under the Investment Company Act of 1940.</w:t>
      </w:r>
    </w:p>
    <w:p>
      <w:pPr>
        <w:spacing w:after="0" w:line="227" w:lineRule="exact"/>
        <w:rPr>
          <w:sz w:val="20"/>
          <w:szCs w:val="20"/>
          <w:color w:val="auto"/>
        </w:rPr>
      </w:pPr>
    </w:p>
    <w:p>
      <w:pPr>
        <w:ind w:right="2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5.14 Disclosure. As of the Closing Date, none of the written information and written data heretofore or contemporaneously furnished in writing by or on behalf of the Borrower or any Subsidiary Guarantor to any Agent or any Lender on or prior to the Closing Date, in connection with the Transactions,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and prior to the Closing Date); it being understood that for purposes of this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such written information and written data shall not include any projections,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 information, financial estimates,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0"/>
          <w:szCs w:val="20"/>
          <w:color w:val="auto"/>
        </w:rPr>
        <w:t>forecasts and forward-looking information or information of a general economic or general industry nature.</w:t>
      </w:r>
    </w:p>
    <w:p>
      <w:pPr>
        <w:spacing w:after="0" w:line="216"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SECTION 5.15 Intellectual Property; Licenses, Etc. The Borrower and the Restricted Subsidiaries have good and marketable title to, or a license or right to use, all patents, trademarks, service marks, trade names, copyrights, know-how, trade secrets and other intellectual property rights (collectively, “</w:t>
      </w:r>
      <w:r>
        <w:rPr>
          <w:rFonts w:ascii="Times New Roman" w:cs="Times New Roman" w:eastAsia="Times New Roman" w:hAnsi="Times New Roman"/>
          <w:sz w:val="20"/>
          <w:szCs w:val="20"/>
          <w:b w:val="1"/>
          <w:bCs w:val="1"/>
          <w:color w:val="auto"/>
        </w:rPr>
        <w:t>IP Rights</w:t>
      </w:r>
      <w:r>
        <w:rPr>
          <w:rFonts w:ascii="Times New Roman" w:cs="Times New Roman" w:eastAsia="Times New Roman" w:hAnsi="Times New Roman"/>
          <w:sz w:val="20"/>
          <w:szCs w:val="20"/>
          <w:color w:val="auto"/>
        </w:rPr>
        <w:t>”) that to the knowledge of the Borrower are reasonably necessary for the operation of their respective businesses as currently conducted, except where the failure to have any such rights, either individually or in the aggregate, would not reasonably be expected to have a Material Adverse Effect. To the knowledge of the Borrower, the operation of the respective businesses of the Borrower or any Restricted Subsidiary as currently conducted does not infringe upon, dilute, misappropriate or violate any IP Rights held by any Person except for such infringements, dilutions, misappropriations or violations, individually or in the aggregate, that would not reasonably be expected to have a Material Adverse Effect. No claim or litigation regarding any IP Rights is pending or, to the knowledge of the Borrower, threatened in writing against any Loan Party or Restricted Subsidiary, that, either individually or in the aggregate, would reasonably be expected to have a Material Adverse Effect.</w:t>
      </w:r>
    </w:p>
    <w:p>
      <w:pPr>
        <w:spacing w:after="0" w:line="192" w:lineRule="exact"/>
        <w:rPr>
          <w:sz w:val="20"/>
          <w:szCs w:val="20"/>
          <w:color w:val="auto"/>
        </w:rPr>
      </w:pPr>
    </w:p>
    <w:p>
      <w:pPr>
        <w:ind w:right="800" w:firstLine="1497"/>
        <w:spacing w:after="0" w:line="269" w:lineRule="auto"/>
        <w:rPr>
          <w:sz w:val="20"/>
          <w:szCs w:val="20"/>
          <w:color w:val="auto"/>
        </w:rPr>
      </w:pPr>
      <w:r>
        <w:rPr>
          <w:rFonts w:ascii="Times New Roman" w:cs="Times New Roman" w:eastAsia="Times New Roman" w:hAnsi="Times New Roman"/>
          <w:sz w:val="20"/>
          <w:szCs w:val="20"/>
          <w:color w:val="auto"/>
        </w:rPr>
        <w:t>SECTION 5.16 Solvency. On the Closing Date after giving effect to the Transactions, the Borrower and the Subsidiaries, on a consolidated basis, are Solvent.</w:t>
      </w:r>
    </w:p>
    <w:p>
      <w:pPr>
        <w:spacing w:after="0" w:line="159" w:lineRule="exact"/>
        <w:rPr>
          <w:sz w:val="20"/>
          <w:szCs w:val="20"/>
          <w:color w:val="auto"/>
        </w:rPr>
      </w:pPr>
    </w:p>
    <w:p>
      <w:pPr>
        <w:ind w:right="40" w:firstLine="1497"/>
        <w:spacing w:after="0" w:line="242" w:lineRule="auto"/>
        <w:rPr>
          <w:sz w:val="20"/>
          <w:szCs w:val="20"/>
          <w:color w:val="auto"/>
        </w:rPr>
      </w:pPr>
      <w:r>
        <w:rPr>
          <w:rFonts w:ascii="Times New Roman" w:cs="Times New Roman" w:eastAsia="Times New Roman" w:hAnsi="Times New Roman"/>
          <w:sz w:val="20"/>
          <w:szCs w:val="20"/>
          <w:color w:val="auto"/>
        </w:rPr>
        <w:t>SECTION 5.17 USA PATRIOT Act; Anti-Terrorism Laws; Anti-Money Laundering Laws. To the extent applicable, each of the Borrower, the Restricted Subsidiaries and the Affiliated Practices are in compliance, in all material respects, with (1) the USA PATRIOT Act, (2) Anti-Money Laundering Laws, and (3) the Trading with the Enemy Act, as amended, and each of the foreign assets control regulations of the United States Treasury Department (31 C.F.R. Subtitle B, Chapter V, as amended) and any other applicable enabling legislation or executive order relating thereto. Neither Holdings, the Borrower nor any Restricted Subsidiary nor, to the knowledge of the Borrower, any director, officer or employee of Holdings, the Borrower or any of the Restricted Subsidiaries, is currently the subject of any sanctions administered by the Office of Foreign Assets Control of the U.S. Treasury Department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(such sanctions,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No proceeds of the Loans will be used by Holdings or any Restricted Subsidiary directly or, to the knowledge of the Borrower, indirectly, in violation of the FCPA, any Anti-Money Laundering Laws or the USA PATRIOT ACT, or for the purpose of financing activities of or with any Person, or in any country, that, at the time of such financing, is the subject of any Sanctions, except to the extent licensed or otherwise approved by OFAC.</w:t>
      </w:r>
    </w:p>
    <w:p>
      <w:pPr>
        <w:spacing w:after="0" w:line="190"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SECTION 5.18 Collateral Documents. Except as otherwise contemplated hereby or under any other Loan Document and subject to limitations set forth in the Collateral and Guarantee Requirement, the provisions of the Collateral Documents, together with such filings and other actions required to be taken hereby or by the applicable Collateral Documents (including the delivery to Collateral Agent of any Pledged Collateral required to be delivered pursuant hereto or the applicable Collateral Documents), are effective to create in favor of the Collateral Agent for the benefit of the Secured Parties a legal, valid, perfected and enforceable first priority Lien (subject to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and to any applicable Intercreditor Agreement) on all right, title and interest of the respective Loan Parties in the Collateral described therein.</w:t>
      </w:r>
    </w:p>
    <w:p>
      <w:pPr>
        <w:spacing w:after="0" w:line="186" w:lineRule="exact"/>
        <w:rPr>
          <w:sz w:val="20"/>
          <w:szCs w:val="20"/>
          <w:color w:val="auto"/>
        </w:rPr>
      </w:pPr>
    </w:p>
    <w:p>
      <w:pPr>
        <w:ind w:right="140" w:firstLine="1497"/>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anything herein (including 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or in any other Loan Document to the contrary, no Loan Party makes any representation or warranty as to (1) the effects of perfection or non-perfection, the priority or the enforceability of any pledge of or security interest in any Equity Interests of any Foreign Subsidiary, or as to the rights and remedies of the Agents or any Lender with respect thereto, under foreign Law, (2) the pledge or creation of any security interest, or the effects of perfection or non-perfection, the priority or the enforceability of any pledge of or security interest to</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78" w:name="page279"/>
    <w:bookmarkEnd w:id="278"/>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the extent such pledge, security interest, perfection or priority is not required pursuant to the Collateral and Guarantee Requirement, (3) on the Closing Date and until required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the pledge or creation of any security interest, or the effects of perfection or non-perfection, the priority or enforceability of any pledge or security interest to the extent not required on the Closing Date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(4) any Excluded Assets or (5) any loss of perfection that results from the failure of the Administrative Agent or the Collateral Agent to maintain possession of Collateral actually delivered to it and pledged under the Collateral Documents or to file Uniform Commercial Code amendments relating to a Loan Party’s change of name or jurisdiction of formation (solely to the extent that (x) the Borrower provides the Collateral Agent written notice thereof in accordance with the Loan Documents and (y) the Collateral Agent and the Borrower have agreed that the Collateral Agent will be responsible for filing such amendments) and Uniform Commercial Code continuation statements.</w:t>
      </w:r>
    </w:p>
    <w:p>
      <w:pPr>
        <w:spacing w:after="0" w:line="18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SECTION 5.19 HIPAA. None of the Borrower, any Restricted Subsidiary or any Affiliated Practice has engaged in any activities that are prohibited under HIPAA, or any comparable state Law, except for such activities that, individually or in the aggregate, would not reasonably be expected to result in a Material Adverse Effect.</w:t>
      </w:r>
    </w:p>
    <w:p>
      <w:pPr>
        <w:spacing w:after="0" w:line="17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5.20</w:t>
      </w:r>
      <w:r>
        <w:rPr>
          <w:sz w:val="20"/>
          <w:szCs w:val="20"/>
          <w:color w:val="auto"/>
        </w:rPr>
        <w:tab/>
      </w:r>
      <w:r>
        <w:rPr>
          <w:rFonts w:ascii="Times New Roman" w:cs="Times New Roman" w:eastAsia="Times New Roman" w:hAnsi="Times New Roman"/>
          <w:sz w:val="19"/>
          <w:szCs w:val="19"/>
          <w:color w:val="auto"/>
        </w:rPr>
        <w:t>Regulatory Matters.</w:t>
      </w:r>
    </w:p>
    <w:p>
      <w:pPr>
        <w:spacing w:after="0" w:line="216" w:lineRule="exact"/>
        <w:rPr>
          <w:sz w:val="20"/>
          <w:szCs w:val="20"/>
          <w:color w:val="auto"/>
        </w:rPr>
      </w:pPr>
    </w:p>
    <w:p>
      <w:pPr>
        <w:ind w:right="60" w:firstLine="1505"/>
        <w:spacing w:after="0" w:line="254" w:lineRule="auto"/>
        <w:tabs>
          <w:tab w:leader="none" w:pos="1893"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its Subsidiaries is in compliance in all material respects with all Health Care Laws applicable to it and its assets, business or operations, except where such noncompliance would not reasonably be expected to have a Material Adverse Effect.</w:t>
      </w:r>
    </w:p>
    <w:p>
      <w:pPr>
        <w:spacing w:after="0" w:line="174" w:lineRule="exact"/>
        <w:rPr>
          <w:rFonts w:ascii="Times New Roman" w:cs="Times New Roman" w:eastAsia="Times New Roman" w:hAnsi="Times New Roman"/>
          <w:sz w:val="20"/>
          <w:szCs w:val="20"/>
          <w:color w:val="auto"/>
        </w:rPr>
      </w:pPr>
    </w:p>
    <w:p>
      <w:pPr>
        <w:ind w:right="160" w:firstLine="1505"/>
        <w:spacing w:after="0" w:line="249" w:lineRule="auto"/>
        <w:tabs>
          <w:tab w:leader="none" w:pos="1893"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its Subsidiaries holds in full force and effect (without default, violation or non-compliance) all licenses and permits necessary for it to own, lease, sublease or operate its assets or to conduct its business and operations as presently conducted, except to the extent that lack of any licenses and permits (or such default, violation or non-compliance) would not reasonably be expected to have a Material Adverse Effect.</w:t>
      </w:r>
    </w:p>
    <w:p>
      <w:pPr>
        <w:spacing w:after="0" w:line="179" w:lineRule="exact"/>
        <w:rPr>
          <w:rFonts w:ascii="Times New Roman" w:cs="Times New Roman" w:eastAsia="Times New Roman" w:hAnsi="Times New Roman"/>
          <w:sz w:val="20"/>
          <w:szCs w:val="20"/>
          <w:color w:val="auto"/>
        </w:rPr>
      </w:pPr>
    </w:p>
    <w:p>
      <w:pPr>
        <w:ind w:right="80" w:firstLine="1505"/>
        <w:spacing w:after="0" w:line="258" w:lineRule="auto"/>
        <w:tabs>
          <w:tab w:leader="none" w:pos="1893"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as disclosed to the Administrative Agent in writing, none of the Loan Parties, their Subsidiaries nor any owners, officers or directors or any “person with an ownership or control interest” in any of the foregoing (as that phrase is defined in 42 C.F.R. § 420.201), has (i) been excluded from any Governmental Program or had a civil monetary penalty assessed pursuant to 42 U.S.C. § 1320a-7; (ii) been convicted (as that term is defined in 42 C.F.R. § 1001.2) of any offense described in 42 U.S.C. § 1320a-7b or in 18 U.S.C.</w:t>
      </w:r>
    </w:p>
    <w:p>
      <w:pPr>
        <w:ind w:right="340" w:firstLine="8"/>
        <w:spacing w:after="0" w:line="246" w:lineRule="auto"/>
        <w:tabs>
          <w:tab w:leader="none" w:pos="247"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669, 1035, 1347 or 1518 or (iii) been named in a complaint filed or any other action taken pursuant to the federal False Claims Act, 31 U.S.C. § 3729 et seq., in each case, except where such would not reasonably be expected to have a Material Adverse Effect.</w:t>
      </w:r>
    </w:p>
    <w:p>
      <w:pPr>
        <w:spacing w:after="0" w:line="181" w:lineRule="exact"/>
        <w:rPr>
          <w:rFonts w:ascii="Times New Roman" w:cs="Times New Roman" w:eastAsia="Times New Roman" w:hAnsi="Times New Roman"/>
          <w:sz w:val="20"/>
          <w:szCs w:val="20"/>
          <w:color w:val="auto"/>
        </w:rPr>
      </w:pPr>
    </w:p>
    <w:p>
      <w:pPr>
        <w:ind w:right="100" w:firstLine="1505"/>
        <w:spacing w:after="0" w:line="246" w:lineRule="auto"/>
        <w:tabs>
          <w:tab w:leader="none" w:pos="1893"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disclosed to the Administrative Agent in writing, none of the Loan Parties, their Subsidiaries, nor any owner, officer, director, partner, agent or managing employee of the foregoing, is a party to or bound by any individual integrity agreement, corporate integrity agreement, corporate compliance agreement, deferred prosecution agreement, or other formal or informal agreement with any Governmental Authority concerning compliance with Health Care Laws, in each case, except where such would not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right="200" w:firstLine="1505"/>
        <w:spacing w:after="0" w:line="246" w:lineRule="auto"/>
        <w:tabs>
          <w:tab w:leader="none" w:pos="1893"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its Restricted Subsidiaries and each Affiliated Practice holds all Third Party Payor Authorizations necessary to participate in and be reimbursed by all Third Party Payor Programs in which any Loan Party, its Subsidiaries or any Affiliated Practice participates, except where the failure to hold such Third Party Payor Authorizations, either individually or in the aggregate, would not reasonably be expected to have a Material Adverse Effect. To the knowledge of any Loan Party, there is no investigation, audit, claim review, or other action pending or threatened, which could result in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9" w:name="page280"/>
    <w:bookmarkEnd w:id="279"/>
    <w:p>
      <w:pPr>
        <w:ind w:right="160"/>
        <w:spacing w:after="0" w:line="249" w:lineRule="auto"/>
        <w:rPr>
          <w:sz w:val="20"/>
          <w:szCs w:val="20"/>
          <w:color w:val="auto"/>
        </w:rPr>
      </w:pPr>
      <w:r>
        <w:rPr>
          <w:rFonts w:ascii="Times New Roman" w:cs="Times New Roman" w:eastAsia="Times New Roman" w:hAnsi="Times New Roman"/>
          <w:sz w:val="20"/>
          <w:szCs w:val="20"/>
          <w:color w:val="auto"/>
        </w:rPr>
        <w:t>suspension, revocation, termination, restriction, limitation, modification or non-renewal of any Third Party Payor Authorization or result in any Loan Party’s, any of its Subsidiaries’ or any Affiliated Practice’s exclusion from any Third Party Payor Program, except where such investigation, audit, claim, review or other action, either individually or in the aggregate, would not reasonably be expected to have a Material Adverse Effect.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Affirmative Covenants</w:t>
      </w:r>
    </w:p>
    <w:p>
      <w:pPr>
        <w:spacing w:after="0" w:line="220" w:lineRule="exact"/>
        <w:rPr>
          <w:sz w:val="20"/>
          <w:szCs w:val="20"/>
          <w:color w:val="auto"/>
        </w:rPr>
      </w:pPr>
    </w:p>
    <w:p>
      <w:pPr>
        <w:jc w:val="both"/>
        <w:ind w:right="4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So long as the Termination Conditions have not been satisfied, the Borrower shall (and, with respect to </w:t>
      </w:r>
      <w:r>
        <w:rPr>
          <w:rFonts w:ascii="Times New Roman" w:cs="Times New Roman" w:eastAsia="Times New Roman" w:hAnsi="Times New Roman"/>
          <w:sz w:val="20"/>
          <w:szCs w:val="20"/>
          <w:u w:val="single" w:color="auto"/>
          <w:color w:val="auto"/>
        </w:rPr>
        <w:t>Sections 6.05(1)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only, Holdings shall), and shall (except in the case of the covenants set forth in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cause each of the Restricted Subsidiaries to:</w:t>
      </w:r>
    </w:p>
    <w:p>
      <w:pPr>
        <w:spacing w:after="0" w:line="174" w:lineRule="exact"/>
        <w:rPr>
          <w:sz w:val="20"/>
          <w:szCs w:val="20"/>
          <w:color w:val="auto"/>
        </w:rPr>
      </w:pPr>
    </w:p>
    <w:p>
      <w:pPr>
        <w:ind w:right="34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6.01 Financial Statements. Deliver to the Administrative Agent for prompt further distribution by the Administrative Agent to each Lender (subject to the limitations on distribution of any such information to Public Lenders as described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each of the following:</w:t>
      </w:r>
    </w:p>
    <w:p>
      <w:pPr>
        <w:spacing w:after="0" w:line="174" w:lineRule="exact"/>
        <w:rPr>
          <w:sz w:val="20"/>
          <w:szCs w:val="20"/>
          <w:color w:val="auto"/>
        </w:rPr>
      </w:pPr>
    </w:p>
    <w:p>
      <w:pPr>
        <w:ind w:firstLine="1505"/>
        <w:spacing w:after="0" w:line="242" w:lineRule="auto"/>
        <w:tabs>
          <w:tab w:leader="none" w:pos="1893"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one hundred twenty (120) days after the end of each fiscal year of the Borrower, commencing with the fiscal year ending December 31, 2024, a consolidated balance sheet of the Borrower and its Subsidiaries as at the end of such fiscal year, and the related consolidated statements of income and cash flows for such fiscal year, together with related notes thereto, setting forth in each case in comparative form the figures for the previous fiscal year, in reasonable detail and all prepared in accordance with GAAP, audited and accompanied by a report and opinion of an independent certified public accounting firm of nationally recognized standing or another accounting firm reasonably acceptable to the Administrative Agent, which report and opinion (a) will be prepared in accordance with generally accepted auditing standards and (b) will not be subject to any qualification as to the scope of such audit (but may contain a “going concern” explanatory paragraph or like qualification that is due to (i) the maturity or impending maturity of any Indebtedness, (ii) any anticipated inability to satisfy any Financial Covenant or any other financial covenant, (iii) an actual Default of any Financial Covenant or any default with respect to any other financial covenant or (iv) the activities, operations, financial results, assets or liabilities of Unrestricted Subsidiaries) (such report and opinion, a “</w:t>
      </w:r>
      <w:r>
        <w:rPr>
          <w:rFonts w:ascii="Times New Roman" w:cs="Times New Roman" w:eastAsia="Times New Roman" w:hAnsi="Times New Roman"/>
          <w:sz w:val="20"/>
          <w:szCs w:val="20"/>
          <w:b w:val="1"/>
          <w:bCs w:val="1"/>
          <w:color w:val="auto"/>
        </w:rPr>
        <w:t>Conforming Accounting Report</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firstLine="1505"/>
        <w:spacing w:after="0" w:line="242" w:lineRule="auto"/>
        <w:tabs>
          <w:tab w:leader="none" w:pos="1893"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commencing with the fiscal quarter ending March 31, 2025, within sixty (60) days after the end of each of the first three (3) fiscal quarters of each fiscal year of the Borrower, (i) a consolidated balance sheet of the Borrower and its Subsidiaries as at the end of such fiscal quarter, and the related (a) consolidated statement of income for such fiscal quarter and for the portion of the fiscal year then ended and (b) consolidated statement of cash flows for the portion of the fiscal year then ended, setting forth, in each case of the preceding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in comparative form the figures for the corresponding fiscal quarter of the previous fiscal year and the corresponding portion of the previous fiscal year, accompanied by an Officer’s Certificate stating that such financial statements fairly present in all material respects the financial condition, results of operations and cash flows of the Borrower and its Subsidiaries in accordance with GAAP, subject to normal year-end adjustments and the absence of footnotes and (ii) management’s discussion and analysis describing results of operations in the form customarily prepared by management of the Borrower (it being understood that any such discussion and analysis included in the Borrower’s or a Parent Company’s Form 10-Q, as applicable, filed with the SEC shall be deemed to satisfy the requirement to provide such discussion and analysis);</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80" w:name="page281"/>
    <w:bookmarkEnd w:id="280"/>
    <w:p>
      <w:pPr>
        <w:ind w:right="160" w:firstLine="1505"/>
        <w:spacing w:after="0" w:line="249" w:lineRule="auto"/>
        <w:tabs>
          <w:tab w:leader="none" w:pos="1893"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simultaneously with the delivery of each set of consolidated financial statements referred to in </w:t>
      </w:r>
      <w:r>
        <w:rPr>
          <w:rFonts w:ascii="Times New Roman" w:cs="Times New Roman" w:eastAsia="Times New Roman" w:hAnsi="Times New Roman"/>
          <w:sz w:val="20"/>
          <w:szCs w:val="20"/>
          <w:u w:val="single" w:color="auto"/>
          <w:color w:val="auto"/>
        </w:rPr>
        <w:t>Sections 6.01(1)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6.01(2)</w:t>
      </w:r>
      <w:r>
        <w:rPr>
          <w:rFonts w:ascii="Times New Roman" w:cs="Times New Roman" w:eastAsia="Times New Roman" w:hAnsi="Times New Roman"/>
          <w:sz w:val="20"/>
          <w:szCs w:val="20"/>
          <w:color w:val="auto"/>
        </w:rPr>
        <w:t>, the related unaudited (it being understood that such information may be audited at the option of the Borrower) consolidating financial statements reflecting the adjustments necessary to eliminate the accounts of Unrestricted Subsidiaries (if any) from such consolidated financial statements.</w:t>
      </w:r>
    </w:p>
    <w:p>
      <w:pPr>
        <w:spacing w:after="0" w:line="180"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referred to in </w:t>
      </w:r>
      <w:r>
        <w:rPr>
          <w:rFonts w:ascii="Times New Roman" w:cs="Times New Roman" w:eastAsia="Times New Roman" w:hAnsi="Times New Roman"/>
          <w:sz w:val="20"/>
          <w:szCs w:val="20"/>
          <w:u w:val="single" w:color="auto"/>
          <w:color w:val="auto"/>
        </w:rPr>
        <w:t>Sections 6.01(1)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6.01(2)</w:t>
      </w:r>
      <w:r>
        <w:rPr>
          <w:rFonts w:ascii="Times New Roman" w:cs="Times New Roman" w:eastAsia="Times New Roman" w:hAnsi="Times New Roman"/>
          <w:sz w:val="20"/>
          <w:szCs w:val="20"/>
          <w:color w:val="auto"/>
        </w:rPr>
        <w:t xml:space="preserve"> may be satisfied with respect to financial information of the Borrower and its Subsidiaries by furnishing (a) the applicable financial statements of any Parent Company or (b) the Borrower’s or such Parent Company’s Form 10-K or 10-Q, as applicable, filed with the SEC (and the public filing of such report with the SEC shall constitute delivery under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each of the preceding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 to the extent such information relates to a Parent Company, if and so long as such Parent Company will have Independent Assets or Operations, such information is accompanied by consolidating information (which need not be audited) that explains in reasonable detail the differences between the information relating to such Parent Company and its Independent Assets or Operations, on the one hand, and the information relating to the Borrower and the consolidated Restricted Subsidiaries on a stand-alone basis, on the other hand and (ii) to the extent such information is in lieu of information required to be provided under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(it being understood that such information may be audited at the option of the Borrower), such materials are accompanied by a Conforming Accounting Report;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solely if and to the extent that the applicable deadlines required by the SEC for delivery of the Borrower’s or the applicable Parent Company’s Form 10-Q and/or 10-K (as applicable) for any period are later than the applicable deadlines for delivery set forth in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6.01(2)</w:t>
      </w:r>
      <w:r>
        <w:rPr>
          <w:rFonts w:ascii="Times New Roman" w:cs="Times New Roman" w:eastAsia="Times New Roman" w:hAnsi="Times New Roman"/>
          <w:sz w:val="20"/>
          <w:szCs w:val="20"/>
          <w:color w:val="auto"/>
        </w:rPr>
        <w:t xml:space="preserve"> for such period, such deadline set forth in </w:t>
      </w:r>
      <w:r>
        <w:rPr>
          <w:rFonts w:ascii="Times New Roman" w:cs="Times New Roman" w:eastAsia="Times New Roman" w:hAnsi="Times New Roman"/>
          <w:sz w:val="20"/>
          <w:szCs w:val="20"/>
          <w:u w:val="single" w:color="auto"/>
          <w:color w:val="auto"/>
        </w:rPr>
        <w:t>Sections 6.01(1)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6.01(2)</w:t>
      </w:r>
      <w:r>
        <w:rPr>
          <w:rFonts w:ascii="Times New Roman" w:cs="Times New Roman" w:eastAsia="Times New Roman" w:hAnsi="Times New Roman"/>
          <w:sz w:val="20"/>
          <w:szCs w:val="20"/>
          <w:color w:val="auto"/>
        </w:rPr>
        <w:t xml:space="preserve"> shall automatically be deemed to be replaced with such later deadlines as required by the SEC (without any further action or consent of any party to this Agreement).</w:t>
      </w:r>
    </w:p>
    <w:p>
      <w:pPr>
        <w:spacing w:after="0" w:line="196" w:lineRule="exact"/>
        <w:rPr>
          <w:sz w:val="20"/>
          <w:szCs w:val="20"/>
          <w:color w:val="auto"/>
        </w:rPr>
      </w:pPr>
    </w:p>
    <w:p>
      <w:pPr>
        <w:ind w:right="16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Any financial statements required to be delivered pursuant to Sections </w:t>
      </w:r>
      <w:r>
        <w:rPr>
          <w:rFonts w:ascii="Times New Roman" w:cs="Times New Roman" w:eastAsia="Times New Roman" w:hAnsi="Times New Roman"/>
          <w:sz w:val="20"/>
          <w:szCs w:val="20"/>
          <w:u w:val="single" w:color="auto"/>
          <w:color w:val="auto"/>
        </w:rPr>
        <w:t>6.01(1)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6.01(2)</w:t>
      </w:r>
      <w:r>
        <w:rPr>
          <w:rFonts w:ascii="Times New Roman" w:cs="Times New Roman" w:eastAsia="Times New Roman" w:hAnsi="Times New Roman"/>
          <w:sz w:val="20"/>
          <w:szCs w:val="20"/>
          <w:color w:val="auto"/>
        </w:rPr>
        <w:t xml:space="preserve"> shall not be required to contain all purchase accounting adjustments relating to the Transactions or any other transaction(s) permitted hereunder to the extent it is not practicable to include any such adjustments in such financial statements.</w:t>
      </w:r>
    </w:p>
    <w:p>
      <w:pPr>
        <w:spacing w:after="0" w:line="174" w:lineRule="exact"/>
        <w:rPr>
          <w:sz w:val="20"/>
          <w:szCs w:val="20"/>
          <w:color w:val="auto"/>
        </w:rPr>
      </w:pPr>
    </w:p>
    <w:p>
      <w:pPr>
        <w:ind w:right="2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6.02 Certificates; Other Information. Deliver to the Administrative Agent for prompt further distribution by the Administrative Agent to each Lender (subject to the limitations on distribution of any such information to Public Lenders as described in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80" w:firstLine="1505"/>
        <w:spacing w:after="0" w:line="274" w:lineRule="auto"/>
        <w:tabs>
          <w:tab w:leader="none" w:pos="1893"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later than five (5) Business Days after the delivery of the financial statements referred to in </w:t>
      </w:r>
      <w:r>
        <w:rPr>
          <w:rFonts w:ascii="Times New Roman" w:cs="Times New Roman" w:eastAsia="Times New Roman" w:hAnsi="Times New Roman"/>
          <w:sz w:val="19"/>
          <w:szCs w:val="19"/>
          <w:u w:val="single" w:color="auto"/>
          <w:color w:val="auto"/>
        </w:rPr>
        <w:t>Section 6.01(1)</w:t>
      </w:r>
      <w:r>
        <w:rPr>
          <w:rFonts w:ascii="Times New Roman" w:cs="Times New Roman" w:eastAsia="Times New Roman" w:hAnsi="Times New Roman"/>
          <w:sz w:val="19"/>
          <w:szCs w:val="19"/>
          <w:color w:val="auto"/>
        </w:rPr>
        <w:t xml:space="preserve"> (commencing with such delivery for the fiscal year ending December 31, 2024) and </w:t>
      </w:r>
      <w:r>
        <w:rPr>
          <w:rFonts w:ascii="Times New Roman" w:cs="Times New Roman" w:eastAsia="Times New Roman" w:hAnsi="Times New Roman"/>
          <w:sz w:val="19"/>
          <w:szCs w:val="19"/>
          <w:u w:val="single" w:color="auto"/>
          <w:color w:val="auto"/>
        </w:rPr>
        <w:t>Section 6.01(2)</w:t>
      </w:r>
      <w:r>
        <w:rPr>
          <w:rFonts w:ascii="Times New Roman" w:cs="Times New Roman" w:eastAsia="Times New Roman" w:hAnsi="Times New Roman"/>
          <w:sz w:val="19"/>
          <w:szCs w:val="19"/>
          <w:color w:val="auto"/>
        </w:rPr>
        <w:t xml:space="preserve"> (commencing with such delivery for the fiscal quarter ending March 31, 2025), a duly completed Compliance Certificate signed by a Financial Officer of the Borrower or Holdings;</w:t>
      </w:r>
    </w:p>
    <w:p>
      <w:pPr>
        <w:spacing w:after="0" w:line="156" w:lineRule="exact"/>
        <w:rPr>
          <w:rFonts w:ascii="Times New Roman" w:cs="Times New Roman" w:eastAsia="Times New Roman" w:hAnsi="Times New Roman"/>
          <w:sz w:val="19"/>
          <w:szCs w:val="19"/>
          <w:color w:val="auto"/>
        </w:rPr>
      </w:pPr>
    </w:p>
    <w:p>
      <w:pPr>
        <w:ind w:right="20" w:firstLine="1505"/>
        <w:spacing w:after="0" w:line="245" w:lineRule="auto"/>
        <w:tabs>
          <w:tab w:leader="none" w:pos="1893"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same are publicly available, copies of all special reports and registration statements which Holdings, the Borrower or any Restricted Subsidiary files with the SEC or with any Governmental Authority that may be substituted therefor or with any national securities exchange, as the case may be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right="420" w:firstLine="1505"/>
        <w:spacing w:after="0" w:line="269" w:lineRule="auto"/>
        <w:tabs>
          <w:tab w:leader="none" w:pos="1893"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furnishing thereof, copies of any notices of default to any holder of any class or series of debt securities of any Loan Party having an aggregate outstanding</w:t>
      </w: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81" w:name="page282"/>
    <w:bookmarkEnd w:id="281"/>
    <w:p>
      <w:pPr>
        <w:ind w:right="800"/>
        <w:spacing w:after="0" w:line="269" w:lineRule="auto"/>
        <w:rPr>
          <w:sz w:val="20"/>
          <w:szCs w:val="20"/>
          <w:color w:val="auto"/>
        </w:rPr>
      </w:pPr>
      <w:r>
        <w:rPr>
          <w:rFonts w:ascii="Times New Roman" w:cs="Times New Roman" w:eastAsia="Times New Roman" w:hAnsi="Times New Roman"/>
          <w:sz w:val="20"/>
          <w:szCs w:val="20"/>
          <w:color w:val="auto"/>
        </w:rPr>
        <w:t xml:space="preserve">principal amount greater than the Threshold Amount (in each case, other than in connection with any board observer rights) and not otherwise required to be furnished to the Administrative Agent pursuant to any other clause of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0" w:firstLine="1505"/>
        <w:spacing w:after="0" w:line="263" w:lineRule="auto"/>
        <w:tabs>
          <w:tab w:leader="none" w:pos="1893" w:val="left"/>
        </w:tabs>
        <w:numPr>
          <w:ilvl w:val="0"/>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together with the delivery of the Compliance Certificate with respect to the financial statements referred to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6.01(1)</w:t>
      </w:r>
      <w:r>
        <w:rPr>
          <w:rFonts w:ascii="Times New Roman" w:cs="Times New Roman" w:eastAsia="Times New Roman" w:hAnsi="Times New Roman"/>
          <w:sz w:val="19"/>
          <w:szCs w:val="19"/>
          <w:color w:val="auto"/>
        </w:rPr>
        <w:t xml:space="preserve">, (a) a report setting forth the information required by Sections 1(a) and 5 of the Perfection Certificate (or confirming that there has been no change in such information since the later of the Closing Date or the last report delivered pursuant to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and (b) a list of each Subsidiary of the Borrower that identifies each Subsidiary as a Restricted Subsidiary or an Unrestricted Subsidiary as of the date of delivery of such list or a confirmation that there is no change in such information since the later of the Closing Date and the last such list; and</w:t>
      </w:r>
    </w:p>
    <w:p>
      <w:pPr>
        <w:spacing w:after="0" w:line="166" w:lineRule="exact"/>
        <w:rPr>
          <w:rFonts w:ascii="Times New Roman" w:cs="Times New Roman" w:eastAsia="Times New Roman" w:hAnsi="Times New Roman"/>
          <w:sz w:val="19"/>
          <w:szCs w:val="19"/>
          <w:color w:val="auto"/>
        </w:rPr>
      </w:pPr>
    </w:p>
    <w:p>
      <w:pPr>
        <w:ind w:right="160" w:firstLine="1505"/>
        <w:spacing w:after="0" w:line="249" w:lineRule="auto"/>
        <w:tabs>
          <w:tab w:leader="none" w:pos="1893"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but subject to the limitations set forth in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such additional information regarding the business and financial affairs of any Loan Party or any Material Subsidiary that is a Restricted Subsidiary, or compliance with the terms of the Loan Documents, as the Administrative Agent may from time to time on its own behalf or on behalf of any Lender reasonably request in writing from time to time.</w:t>
      </w:r>
    </w:p>
    <w:p>
      <w:pPr>
        <w:spacing w:after="0" w:line="180"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6.02(2)</w:t>
      </w:r>
      <w:r>
        <w:rPr>
          <w:rFonts w:ascii="Times New Roman" w:cs="Times New Roman" w:eastAsia="Times New Roman" w:hAnsi="Times New Roman"/>
          <w:sz w:val="20"/>
          <w:szCs w:val="20"/>
          <w:color w:val="auto"/>
        </w:rPr>
        <w:t xml:space="preserve"> may be delivered electronically and, if so delivered, shall be deemed to have been delivered on the date (a) on which the Borrower posts such documents, or provides a link thereto, on the Borrower’s (or any Parent Company’s) website on the Internet at the website address listed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hereto (or as such address may be updated from time to time in accordance with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or (b)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upon written request by the Administrative Agent, the Borrower will deliver paper copies of such documents to the Administrative Agent for further distribution by the Administrative Agent to each Lender (subject to the limitations on distribution of any such information to Public Lenders as described in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until a written request to cease delivering paper copies is given by the Administrative Agent and (ii) the Borrower shall notify (which may be by facsimile or electronic mail) the Administrative Agent of the posting of any such documents or link and, upon the Administrative Agent’s request,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97" w:lineRule="exact"/>
        <w:rPr>
          <w:sz w:val="20"/>
          <w:szCs w:val="20"/>
          <w:color w:val="auto"/>
        </w:rPr>
      </w:pPr>
    </w:p>
    <w:p>
      <w:pPr>
        <w:ind w:right="60" w:firstLine="1497"/>
        <w:spacing w:after="0" w:line="245" w:lineRule="auto"/>
        <w:rPr>
          <w:sz w:val="20"/>
          <w:szCs w:val="20"/>
          <w:color w:val="auto"/>
        </w:rPr>
      </w:pPr>
      <w:r>
        <w:rPr>
          <w:rFonts w:ascii="Times New Roman" w:cs="Times New Roman" w:eastAsia="Times New Roman" w:hAnsi="Times New Roman"/>
          <w:sz w:val="20"/>
          <w:szCs w:val="20"/>
          <w:color w:val="auto"/>
        </w:rPr>
        <w:t>The Borrower hereby acknowledges that (a) the Administrative Agent will make available to the Lenders and the Issuing Banks materials or information provided by or on behalf of the Borrower hereunder (collectively, the “</w:t>
      </w:r>
      <w:r>
        <w:rPr>
          <w:rFonts w:ascii="Times New Roman" w:cs="Times New Roman" w:eastAsia="Times New Roman" w:hAnsi="Times New Roman"/>
          <w:sz w:val="20"/>
          <w:szCs w:val="20"/>
          <w:b w:val="1"/>
          <w:bCs w:val="1"/>
          <w:color w:val="auto"/>
        </w:rPr>
        <w:t>Borrower Materials</w:t>
      </w:r>
      <w:r>
        <w:rPr>
          <w:rFonts w:ascii="Times New Roman" w:cs="Times New Roman" w:eastAsia="Times New Roman" w:hAnsi="Times New Roman"/>
          <w:sz w:val="20"/>
          <w:szCs w:val="20"/>
          <w:color w:val="auto"/>
        </w:rPr>
        <w:t>”) by posting the Borrower Materials on IntraLinks, SyndTrak, ClearPar or another similar electronic system (the “</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 and (b) certain of the Lenders may have personnel who do not wish to receive any information with respect to Holdings, their Subsidiaries or their respective securities that is not Public-Side Information, and who may be engaged in investment and other market-related activities with respect to such Person’s securities (each, a “</w:t>
      </w:r>
      <w:r>
        <w:rPr>
          <w:rFonts w:ascii="Times New Roman" w:cs="Times New Roman" w:eastAsia="Times New Roman" w:hAnsi="Times New Roman"/>
          <w:sz w:val="20"/>
          <w:szCs w:val="20"/>
          <w:b w:val="1"/>
          <w:bCs w:val="1"/>
          <w:color w:val="auto"/>
        </w:rPr>
        <w:t>Public Lender</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The Borrower hereby agrees that (a) at the Administrative Agent’s request, all Borrower Materials that are to be made available to Public Lenders will be clearly and conspicuously marked “PUBLIC” which, at a minimum, means that the word “PUBLIC” will appear prominently on the first page thereof; (b) by marking Borrower Materials “PUBLIC,” the Borrower will be deemed to have authorized the Administrative Agent, the Lenders and the Issuing Banks to treat such Borrower Materials as containing only Public-Side Information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to the extent such Borrower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2" w:name="page283"/>
    <w:bookmarkEnd w:id="282"/>
    <w:p>
      <w:pPr>
        <w:spacing w:after="0" w:line="245" w:lineRule="auto"/>
        <w:rPr>
          <w:sz w:val="20"/>
          <w:szCs w:val="20"/>
          <w:color w:val="auto"/>
        </w:rPr>
      </w:pPr>
      <w:r>
        <w:rPr>
          <w:rFonts w:ascii="Times New Roman" w:cs="Times New Roman" w:eastAsia="Times New Roman" w:hAnsi="Times New Roman"/>
          <w:sz w:val="20"/>
          <w:szCs w:val="20"/>
          <w:color w:val="auto"/>
        </w:rPr>
        <w:t xml:space="preserve">Materials constitute Information, they will be treated as set forth in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(c) all Borrower Materials marked “PUBLIC” and, except to the extent the Borrower notifies the Administrative Agent to the contrary, any Borrower Materials provided pursuant to </w:t>
      </w:r>
      <w:r>
        <w:rPr>
          <w:rFonts w:ascii="Times New Roman" w:cs="Times New Roman" w:eastAsia="Times New Roman" w:hAnsi="Times New Roman"/>
          <w:sz w:val="20"/>
          <w:szCs w:val="20"/>
          <w:u w:val="single" w:color="auto"/>
          <w:color w:val="auto"/>
        </w:rPr>
        <w:t>Sections 6.01(1)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6.02(1)</w:t>
      </w:r>
      <w:r>
        <w:rPr>
          <w:rFonts w:ascii="Times New Roman" w:cs="Times New Roman" w:eastAsia="Times New Roman" w:hAnsi="Times New Roman"/>
          <w:sz w:val="20"/>
          <w:szCs w:val="20"/>
          <w:color w:val="auto"/>
        </w:rPr>
        <w:t xml:space="preserve"> are permitted to be made available through a portion of the Platform designated as “Public Side Information”; and (d) the Administrative Agent and the Arrangers shall be entitled to treat Borrower Materials that are not specifically identified as “PUBLIC” as being suitable only for posting on a portion of the Platform not designated as “Public Side Information.” Notwithstanding the foregoing, the Borrower shall be under no obligation to mark the Borrower Materials “PUBLIC.”</w:t>
      </w:r>
    </w:p>
    <w:p>
      <w:pPr>
        <w:spacing w:after="0" w:line="184" w:lineRule="exact"/>
        <w:rPr>
          <w:sz w:val="20"/>
          <w:szCs w:val="20"/>
          <w:color w:val="auto"/>
        </w:rPr>
      </w:pPr>
    </w:p>
    <w:p>
      <w:pPr>
        <w:ind w:right="4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Anything to the contrary notwithstanding, nothing in this Agreement will require Holdings, the Borrower or any Subsidiary to disclose, permit the inspection, examination or making copies or abstracts of, or discussion of, any document, information or other matter, or provide information (a) that constitutes non-financial trade secrets or non-financial proprietary information, (b) in respect of which disclosure is prohibited by Law or binding agreement or (c) that is subject to attorney-client or similar privilege or constitutes attorney work product;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the Borrower does not provide information that otherwise would be required to be provided hereunder in reliance on the exclusions in this paragraph relating to violation of any obligation of confidentiality, the Borrower shall use commercially reasonable efforts to provide notice to the Administrative Agent promptly upon obtaining knowledge that such information is being withheld (but solely if providing such notice would not violate such obligation of confidentiality).</w:t>
      </w:r>
    </w:p>
    <w:p>
      <w:pPr>
        <w:spacing w:after="0" w:line="189" w:lineRule="exact"/>
        <w:rPr>
          <w:sz w:val="20"/>
          <w:szCs w:val="20"/>
          <w:color w:val="auto"/>
        </w:rPr>
      </w:pPr>
    </w:p>
    <w:p>
      <w:pPr>
        <w:jc w:val="both"/>
        <w:ind w:right="38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6.03 Notices. Promptly after a Responsible Officer of the Borrower obtains actual knowledge thereof, notify the Administrative Agent for prompt further distribution by the Administrative Agent to each Lender (subject to the limitations on distribution of any such information to Public Lenders as described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of:</w:t>
      </w:r>
    </w:p>
    <w:p>
      <w:pPr>
        <w:spacing w:after="0" w:line="174" w:lineRule="exact"/>
        <w:rPr>
          <w:sz w:val="20"/>
          <w:szCs w:val="20"/>
          <w:color w:val="auto"/>
        </w:rPr>
      </w:pPr>
    </w:p>
    <w:p>
      <w:pPr>
        <w:ind w:left="1900" w:hanging="395"/>
        <w:spacing w:after="0"/>
        <w:tabs>
          <w:tab w:leader="none" w:pos="190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and</w:t>
      </w:r>
    </w:p>
    <w:p>
      <w:pPr>
        <w:spacing w:after="0" w:line="215" w:lineRule="exact"/>
        <w:rPr>
          <w:rFonts w:ascii="Times New Roman" w:cs="Times New Roman" w:eastAsia="Times New Roman" w:hAnsi="Times New Roman"/>
          <w:sz w:val="20"/>
          <w:szCs w:val="20"/>
          <w:color w:val="auto"/>
        </w:rPr>
      </w:pPr>
    </w:p>
    <w:p>
      <w:pPr>
        <w:ind w:firstLine="1505"/>
        <w:spacing w:after="0" w:line="260" w:lineRule="auto"/>
        <w:tabs>
          <w:tab w:leader="none" w:pos="1893"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dispute, litigation, investigation or proceeding between any Loan Party or any Affiliated Practice and any arbitrator or Governmental Authority, (ii) the filing or commencement of, or any material development in, any litigation or proceeding affecting any Loan Party or any of its Subsidiaries or any Affiliated Practice, including pursuant to any applicable Environmental Laws or in respect of IP Rights, (iii) the occurrence of any Environmental Liability or any violation of or non-compliance with any Environmental Law by any Loan Party, any of its Subsidiaries or any Affiliated Practice or (iv) the occurrence of any ERISA Event that, in any such case referred to in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6.03(2)</w:t>
      </w:r>
      <w:r>
        <w:rPr>
          <w:rFonts w:ascii="Times New Roman" w:cs="Times New Roman" w:eastAsia="Times New Roman" w:hAnsi="Times New Roman"/>
          <w:sz w:val="19"/>
          <w:szCs w:val="19"/>
          <w:color w:val="auto"/>
        </w:rPr>
        <w:t>, has resulted or would reasonably be expected to result in a Material Adverse Effect.</w:t>
      </w:r>
    </w:p>
    <w:p>
      <w:pPr>
        <w:spacing w:after="0" w:line="173" w:lineRule="exact"/>
        <w:rPr>
          <w:sz w:val="20"/>
          <w:szCs w:val="20"/>
          <w:color w:val="auto"/>
        </w:rPr>
      </w:pPr>
    </w:p>
    <w:p>
      <w:pPr>
        <w:ind w:right="42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written statement of a Responsible Officer of the Borrower (x) that such notice is being delivered pursuant to </w:t>
      </w:r>
      <w:r>
        <w:rPr>
          <w:rFonts w:ascii="Times New Roman" w:cs="Times New Roman" w:eastAsia="Times New Roman" w:hAnsi="Times New Roman"/>
          <w:sz w:val="20"/>
          <w:szCs w:val="20"/>
          <w:u w:val="single" w:color="auto"/>
          <w:color w:val="auto"/>
        </w:rPr>
        <w:t>Section 6.03(1)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(as applicable) and (y) setting forth details of the occurrence referred to therein and stating what action the Borrower has taken and proposes to take with respect thereto.</w:t>
      </w:r>
    </w:p>
    <w:p>
      <w:pPr>
        <w:spacing w:after="0" w:line="174"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0"/>
          <w:szCs w:val="20"/>
          <w:color w:val="auto"/>
        </w:rPr>
        <w:t>SECTION 6.04 Payment of Taxes. Timely pay, discharge or otherwise satisfy, as the same shall become due and payable, all of its obligations and liabilities in respect of Taxes imposed upon it or upon its income or profits or in respect of its property, except, in each case, to the extent (1) any such Tax is being contested in good faith and by appropriate actions for which appropriate reserves have been established in accordance with GAAP or (2) the failure to pay or discharge the same would not reasonably be expected, individually or in the aggregate, to have a Material Adverse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83" w:name="page284"/>
    <w:bookmarkEnd w:id="283"/>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6.05</w:t>
      </w:r>
      <w:r>
        <w:rPr>
          <w:sz w:val="20"/>
          <w:szCs w:val="20"/>
          <w:color w:val="auto"/>
        </w:rPr>
        <w:tab/>
      </w:r>
      <w:r>
        <w:rPr>
          <w:rFonts w:ascii="Times New Roman" w:cs="Times New Roman" w:eastAsia="Times New Roman" w:hAnsi="Times New Roman"/>
          <w:sz w:val="19"/>
          <w:szCs w:val="19"/>
          <w:color w:val="auto"/>
        </w:rPr>
        <w:t>Preservation of Existence, Etc.</w:t>
      </w:r>
    </w:p>
    <w:p>
      <w:pPr>
        <w:spacing w:after="0" w:line="216"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Preserve, renew and maintain in full force and effect its legal existence under the Laws of the jurisdiction of 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organization; and</w:t>
      </w:r>
    </w:p>
    <w:p>
      <w:pPr>
        <w:spacing w:after="0" w:line="194" w:lineRule="exact"/>
        <w:rPr>
          <w:sz w:val="20"/>
          <w:szCs w:val="20"/>
          <w:color w:val="auto"/>
        </w:rPr>
      </w:pPr>
    </w:p>
    <w:p>
      <w:pPr>
        <w:ind w:right="420" w:firstLine="1505"/>
        <w:spacing w:after="0" w:line="269" w:lineRule="auto"/>
        <w:tabs>
          <w:tab w:leader="none" w:pos="1893"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obtain, preserve, renew and keep in full force and effect its rights, licenses, permits, privileges, franchises and IP Rights material to the conduct of its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 xml:space="preserve">except in the case of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to the extent (other than with respect to the preservation of the existence of the Borrower) that failure to do so would not reasonably be expected to have, individually or in the aggregate, a Material Adverse Effect or pursuant to any merger, consolidation, liquidation, dissolution or disposition permitted by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SECTION 6.06 Maintenance of Properties. Except if the failure to do so would not reasonably be expected to have, individually or in the aggregate, a Material Adverse Effect, maintain, preserve and protect all of its material properties and equipment used in the operation of its business in good working order, repair and condition, ordinary wear and tear excepted and casualty or condemnation excepted and any repairs and replacements that are the obligation of the owner or landlord of any property leased by the Borrower or any of the Restricted Subsidiaries excepted.</w:t>
      </w:r>
    </w:p>
    <w:p>
      <w:pPr>
        <w:spacing w:after="0" w:line="185" w:lineRule="exact"/>
        <w:rPr>
          <w:sz w:val="20"/>
          <w:szCs w:val="20"/>
          <w:color w:val="auto"/>
        </w:rPr>
      </w:pPr>
    </w:p>
    <w:p>
      <w:pPr>
        <w:ind w:right="60" w:firstLine="1497"/>
        <w:spacing w:after="0" w:line="241" w:lineRule="auto"/>
        <w:rPr>
          <w:sz w:val="20"/>
          <w:szCs w:val="20"/>
          <w:color w:val="auto"/>
        </w:rPr>
      </w:pPr>
      <w:r>
        <w:rPr>
          <w:rFonts w:ascii="Times New Roman" w:cs="Times New Roman" w:eastAsia="Times New Roman" w:hAnsi="Times New Roman"/>
          <w:sz w:val="20"/>
          <w:szCs w:val="20"/>
          <w:color w:val="auto"/>
        </w:rPr>
        <w:t>SECTION 6.07 Maintenance of Insurance. Maintain with insurance companies that the Borrower believes (in the good faith judgment of its management) are financially sound and reputable at the time the relevant coverage is placed or renewed or with a Captive Insurance Subsidiary, insurance with respect to the Borrower’s and the Restricted Subsidiaries’ properties and business against loss or damage of the kinds customarily insured against by Persons engaged in the same or similar business, of such types and in such amounts (after giving effect to any self-insurance which the Borrower believes (in the good faith judgment of the management of the Borrower) is reasonable and prudent in light of the size and nature of their business and customary for similar situated Persons in the same industry (as determined in good faith by the Borrower)) as are customarily carried under similar circumstances by such other Persons, and will furnish to the Lenders, upon written request from the Administrative Agent, information presented in reasonable detail as to the insurance so carried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notwithstanding the foregoing, in no event will the Borrower or any Restricted Subsidiary be required to obtain or maintain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insurance that is more restrictive than its normal course of practice. Subject to </w:t>
      </w:r>
      <w:r>
        <w:rPr>
          <w:rFonts w:ascii="Times New Roman" w:cs="Times New Roman" w:eastAsia="Times New Roman" w:hAnsi="Times New Roman"/>
          <w:sz w:val="20"/>
          <w:szCs w:val="20"/>
          <w:u w:val="single" w:color="auto"/>
          <w:color w:val="auto"/>
        </w:rPr>
        <w:t>Section 6.12(2)</w:t>
      </w:r>
      <w:r>
        <w:rPr>
          <w:rFonts w:ascii="Times New Roman" w:cs="Times New Roman" w:eastAsia="Times New Roman" w:hAnsi="Times New Roman"/>
          <w:sz w:val="20"/>
          <w:szCs w:val="20"/>
          <w:color w:val="auto"/>
        </w:rPr>
        <w:t>, each such policy of insurance will, to the extent available from the relevant insurance carrier, as appropriate, (1) in the case of each general liability policy of a Loan Party, name the Collateral Agent, on behalf of the Secured Parties, as an additional insured thereunder as its interests may appear or (2) in the case of each casualty insurance policy of a Loan Party, contain an additional loss payable clause or endorsement that names the Collateral Agent, on behalf of the Secured Parties, as the additional loss payee thereunder and the Loan Parties shall use commercially reasonable efforts to cause such policy to provide for prior written notice to the Collateral Agent of any cancellation of such policy (or ten days’ prior notice in the case of non-payment) (it being understood that such commercially reasonable efforts shall not require the Borrower or its Restricted Subsidiaries to agree to obtain a different policy or agree to terms with respect to such policy that are less favorable to the Borrower or its Restricted Subsidiaries).</w:t>
      </w:r>
    </w:p>
    <w:p>
      <w:pPr>
        <w:spacing w:after="0" w:line="190" w:lineRule="exact"/>
        <w:rPr>
          <w:sz w:val="20"/>
          <w:szCs w:val="20"/>
          <w:color w:val="auto"/>
        </w:rPr>
      </w:pPr>
    </w:p>
    <w:p>
      <w:pPr>
        <w:ind w:right="160" w:firstLine="1497"/>
        <w:spacing w:after="0" w:line="246" w:lineRule="auto"/>
        <w:rPr>
          <w:sz w:val="20"/>
          <w:szCs w:val="20"/>
          <w:color w:val="auto"/>
        </w:rPr>
      </w:pPr>
      <w:r>
        <w:rPr>
          <w:rFonts w:ascii="Times New Roman" w:cs="Times New Roman" w:eastAsia="Times New Roman" w:hAnsi="Times New Roman"/>
          <w:sz w:val="20"/>
          <w:szCs w:val="20"/>
          <w:color w:val="auto"/>
        </w:rPr>
        <w:t>SECTION 6.08 Compliance with Laws. Comply and, to the extent not in contravention of any Services Agreement, use commercially reasonable efforts to cause the Affiliated Practice to comply, with the requirements of all Laws (including the USA PATRIOT Act, OFAC, Anti-Money Laundering Laws, the FCPA and Sanctions) and comply with all orders, writs, injunctions and decrees of any Governmental Authority applicable to it or to its business or property, except, in each case (other than the USA PATRIOT Act, OFAC, Anti-Money Laundering Laws, the FCPA and Sanctions), if the failure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20"/>
          <w:szCs w:val="20"/>
          <w:color w:val="auto"/>
        </w:rPr>
        <w:t>to comply therewith would not reasonably be expected individually or in the aggregate to have a Material Adverse Effect.</w:t>
      </w:r>
    </w:p>
    <w:p>
      <w:pPr>
        <w:spacing w:after="0" w:line="216" w:lineRule="exact"/>
        <w:rPr>
          <w:sz w:val="20"/>
          <w:szCs w:val="20"/>
          <w:color w:val="auto"/>
        </w:rPr>
      </w:pPr>
    </w:p>
    <w:p>
      <w:pPr>
        <w:ind w:right="140" w:firstLine="1497"/>
        <w:spacing w:after="0" w:line="246" w:lineRule="auto"/>
        <w:rPr>
          <w:sz w:val="20"/>
          <w:szCs w:val="20"/>
          <w:color w:val="auto"/>
        </w:rPr>
      </w:pPr>
      <w:r>
        <w:rPr>
          <w:rFonts w:ascii="Times New Roman" w:cs="Times New Roman" w:eastAsia="Times New Roman" w:hAnsi="Times New Roman"/>
          <w:sz w:val="20"/>
          <w:szCs w:val="20"/>
          <w:color w:val="auto"/>
        </w:rPr>
        <w:t>SECTION 6.09 Books and Records. Maintain proper books of record and account, in which entries that are full, true and correct in all material respects shall be made of all material financial transactions and matters involving the assets and business of the Borrower or such Restricted Subsidiary, as the case may be (it being understood and agreed that certain Foreign Subsidiaries may maintain individual books and records in conformity with generally accepted accounting principles in their respective countries of organization and that such maintenance shall not constitute a breach of the representations, warranties or covenants hereunder).</w:t>
      </w:r>
    </w:p>
    <w:p>
      <w:pPr>
        <w:spacing w:after="0" w:line="185" w:lineRule="exact"/>
        <w:rPr>
          <w:sz w:val="20"/>
          <w:szCs w:val="20"/>
          <w:color w:val="auto"/>
        </w:rPr>
      </w:pPr>
    </w:p>
    <w:p>
      <w:pPr>
        <w:ind w:right="80" w:firstLine="1497"/>
        <w:spacing w:after="0" w:line="241" w:lineRule="auto"/>
        <w:rPr>
          <w:sz w:val="20"/>
          <w:szCs w:val="20"/>
          <w:color w:val="auto"/>
        </w:rPr>
      </w:pPr>
      <w:r>
        <w:rPr>
          <w:rFonts w:ascii="Times New Roman" w:cs="Times New Roman" w:eastAsia="Times New Roman" w:hAnsi="Times New Roman"/>
          <w:sz w:val="20"/>
          <w:szCs w:val="20"/>
          <w:color w:val="auto"/>
        </w:rPr>
        <w:t>SECTION 6.10 Inspection Rights. 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w:t>
      </w:r>
      <w:r>
        <w:rPr>
          <w:rFonts w:ascii="Times New Roman" w:cs="Times New Roman" w:eastAsia="Times New Roman" w:hAnsi="Times New Roman"/>
          <w:sz w:val="20"/>
          <w:szCs w:val="20"/>
          <w:i w:val="1"/>
          <w:iCs w:val="1"/>
          <w:color w:val="auto"/>
        </w:rPr>
        <w:t>; provided</w:t>
      </w:r>
      <w:r>
        <w:rPr>
          <w:rFonts w:ascii="Times New Roman" w:cs="Times New Roman" w:eastAsia="Times New Roman" w:hAnsi="Times New Roman"/>
          <w:sz w:val="20"/>
          <w:szCs w:val="20"/>
          <w:color w:val="auto"/>
        </w:rPr>
        <w:t xml:space="preserve"> that only the Administrative Agent on behalf of the Lenders may exercise rights under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the Administrative Agent shall not exercise such rights more often than two (2) times during any calendar year absent the existence of an Event of Default and only one (1) such time shall be at the Borrower’s expense;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when an Event of Default exists, the Administrative Agent (or any of its representatives or independent contractors) may do any of the foregoing at the expense of the Borrower at any time during normal business hours and upon reasonable advance notice. The Administrative Agent shall give the Borrower the opportunity to participate in any discussions with the Borrower’s independent public accountants. Any information obtained by the Administrative Agent pursuant to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may be shared with the Collateral Agent or any Lender upon the request of such Person. For the avoidance of doubt,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is subject to the last paragraph of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right="160" w:firstLine="1497"/>
        <w:spacing w:after="0" w:line="249" w:lineRule="auto"/>
        <w:rPr>
          <w:sz w:val="20"/>
          <w:szCs w:val="20"/>
          <w:color w:val="auto"/>
        </w:rPr>
      </w:pPr>
      <w:r>
        <w:rPr>
          <w:rFonts w:ascii="Times New Roman" w:cs="Times New Roman" w:eastAsia="Times New Roman" w:hAnsi="Times New Roman"/>
          <w:sz w:val="20"/>
          <w:szCs w:val="20"/>
          <w:color w:val="auto"/>
        </w:rPr>
        <w:t>SECTION 6.11 Covenant to Guarantee Obligations and Give Security. At the Borrower’s expense, subject to the provisions of the Collateral and Guarantee Requirement and any applicable limitation in any Collateral Document, take all action necessary or reasonably requested by the Administrative Agent or the Collateral Agent to ensure that the Collateral and Guarantee Requirement continues to be satisfied, including (in each case, as applicable, subject to the Excluded Subsidiary Joinder Exception):</w:t>
      </w:r>
    </w:p>
    <w:p>
      <w:pPr>
        <w:spacing w:after="0" w:line="180" w:lineRule="exact"/>
        <w:rPr>
          <w:sz w:val="20"/>
          <w:szCs w:val="20"/>
          <w:color w:val="auto"/>
        </w:rPr>
      </w:pPr>
    </w:p>
    <w:p>
      <w:pPr>
        <w:ind w:right="60" w:firstLine="1505"/>
        <w:spacing w:after="0" w:line="256" w:lineRule="auto"/>
        <w:tabs>
          <w:tab w:leader="none" w:pos="1893" w:val="left"/>
        </w:tabs>
        <w:numPr>
          <w:ilvl w:val="1"/>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upon (i) the formation or acquisition of any new direct or indirect wholly owned Material Domestic Subsidiary (other than (a) any Excluded Subsidiary and (b) any Subsidiary that will be (and, unless the Administrative Agent shall otherwise agree in its sole discretion, within 90 days following its creation or acquisition, is) converted into an Affiliated Practice) by any Loan Party, (ii) the designation of any existing direct or indirect wholly owned Material Domestic Subsidiary (other than any Excluded Subsidiary) as a Restricted Subsidiary, (iii) any Subsidiary (other than any Excluded Subsidiary) becoming a wholly owned Material Domestic Subsidiary or</w:t>
      </w:r>
    </w:p>
    <w:p>
      <w:pPr>
        <w:spacing w:after="0" w:line="4" w:lineRule="exact"/>
        <w:rPr>
          <w:rFonts w:ascii="Times New Roman" w:cs="Times New Roman" w:eastAsia="Times New Roman" w:hAnsi="Times New Roman"/>
          <w:sz w:val="19"/>
          <w:szCs w:val="19"/>
          <w:color w:val="auto"/>
        </w:rPr>
      </w:pPr>
    </w:p>
    <w:p>
      <w:pPr>
        <w:ind w:firstLine="8"/>
        <w:spacing w:after="0" w:line="256" w:lineRule="auto"/>
        <w:tabs>
          <w:tab w:leader="none" w:pos="335"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Excluded Subsidiary that is a wholly owned Material Domestic Subsidiary ceasing to be an Excluded Subsidiary but continuing as a wholly owned Material Domestic Subsidiary of the Borrower, (y) upon the acquisition of any assets by the Borrower or any Subsidiary Guarantor (other than Excluded Assets) or (z) with respect to any Subsidiary at the time it becomes a Loan Party, for any assets (other than Excluded Assets) held by such Subsidiary (in each case, other than assets constituting Collateral under a Collateral Document that become subject to the Lien created by such Collateral Document upon acquisition thereof (without limitation of the obligations to perfect such Lien)): within 60 days (or such later date as the Collateral Agent may agree) after the event giving rise to the obligation under this </w:t>
      </w:r>
      <w:r>
        <w:rPr>
          <w:rFonts w:ascii="Times New Roman" w:cs="Times New Roman" w:eastAsia="Times New Roman" w:hAnsi="Times New Roman"/>
          <w:sz w:val="19"/>
          <w:szCs w:val="19"/>
          <w:u w:val="single" w:color="auto"/>
          <w:color w:val="auto"/>
        </w:rPr>
        <w:t>Section 6.11(1)</w:t>
      </w:r>
      <w:r>
        <w:rPr>
          <w:rFonts w:ascii="Times New Roman" w:cs="Times New Roman" w:eastAsia="Times New Roman" w:hAnsi="Times New Roman"/>
          <w:sz w:val="19"/>
          <w:szCs w:val="19"/>
          <w:color w:val="auto"/>
        </w:rPr>
        <w:t>:</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85" w:name="page286"/>
    <w:bookmarkEnd w:id="285"/>
    <w:p>
      <w:pPr>
        <w:ind w:right="80" w:firstLine="1880"/>
        <w:spacing w:after="0" w:line="274" w:lineRule="auto"/>
        <w:tabs>
          <w:tab w:leader="none" w:pos="2268" w:val="left"/>
        </w:tabs>
        <w:numPr>
          <w:ilvl w:val="1"/>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each such Material Domestic Subsidiary that is required to become a Subsidiary Guarantor under the Collateral and Guarantee Requirement to execute the Guaranty (or a joinder thereto) and other documentation the Administrative Agent may reasonably request from time to time in order to carry out more effectively the purposes of the Guaranty and the Collateral Documents and</w:t>
      </w:r>
    </w:p>
    <w:p>
      <w:pPr>
        <w:spacing w:after="0" w:line="156" w:lineRule="exact"/>
        <w:rPr>
          <w:rFonts w:ascii="Times New Roman" w:cs="Times New Roman" w:eastAsia="Times New Roman" w:hAnsi="Times New Roman"/>
          <w:sz w:val="19"/>
          <w:szCs w:val="19"/>
          <w:color w:val="auto"/>
        </w:rPr>
      </w:pPr>
    </w:p>
    <w:p>
      <w:pPr>
        <w:ind w:right="60" w:firstLine="1880"/>
        <w:spacing w:after="0" w:line="260" w:lineRule="auto"/>
        <w:tabs>
          <w:tab w:leader="none" w:pos="2268" w:val="left"/>
        </w:tabs>
        <w:numPr>
          <w:ilvl w:val="1"/>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each such Material Domestic Subsidiary that is required to become a Subsidiary Guarantor pursuant to the Collateral and Guarantee Requirement to duly execute and deliver to the Collateral Agent any supplements to the Security Agreement, a counterpart signature page to the Intercompany Note, Intellectual Property Security Agreements and other security agreements and documents (if applicable), as reasonably requested by and in form and substance reasonably satisfactory to the Collateral Agent (consistent with the Security Agreement, Intellectual Property Security Agreements and other Collateral Documents in effect on the Closing Date as amended and in effect from time to time), in each case granting and perfecting Liens required by the Collateral and Guarantee Requirement;</w:t>
      </w:r>
    </w:p>
    <w:p>
      <w:pPr>
        <w:spacing w:after="0" w:line="172" w:lineRule="exact"/>
        <w:rPr>
          <w:rFonts w:ascii="Times New Roman" w:cs="Times New Roman" w:eastAsia="Times New Roman" w:hAnsi="Times New Roman"/>
          <w:sz w:val="19"/>
          <w:szCs w:val="19"/>
          <w:color w:val="auto"/>
        </w:rPr>
      </w:pPr>
    </w:p>
    <w:p>
      <w:pPr>
        <w:ind w:right="60" w:firstLine="1880"/>
        <w:spacing w:after="0" w:line="245" w:lineRule="auto"/>
        <w:tabs>
          <w:tab w:leader="none" w:pos="2268"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each such Material Domestic Subsidiary that is required to become a Subsidiary Guarantor pursuant to the Collateral and Guarantee Requirement to deliver any and all certificates representing Equity Interests (to the extent certificated) that are required to be pledged pursuant to the Collateral and Guarantee Requirement, accompanied by undated stock powers or other appropriate instruments of transfer executed in blank and, if applicable, a joinder to the Intercompany Note substantially in the form of Annex I thereto with respect to the intercompany Indebtedness held by such Material Domestic Subsidiary and required to be pledged pursuant to the Collateral Documents;</w:t>
      </w:r>
    </w:p>
    <w:p>
      <w:pPr>
        <w:spacing w:after="0" w:line="184" w:lineRule="exact"/>
        <w:rPr>
          <w:rFonts w:ascii="Times New Roman" w:cs="Times New Roman" w:eastAsia="Times New Roman" w:hAnsi="Times New Roman"/>
          <w:sz w:val="20"/>
          <w:szCs w:val="20"/>
          <w:color w:val="auto"/>
        </w:rPr>
      </w:pPr>
    </w:p>
    <w:p>
      <w:pPr>
        <w:ind w:right="40" w:firstLine="1880"/>
        <w:spacing w:after="0" w:line="258" w:lineRule="auto"/>
        <w:tabs>
          <w:tab w:leader="none" w:pos="2268" w:val="left"/>
        </w:tabs>
        <w:numPr>
          <w:ilvl w:val="1"/>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and cause (I) the applicable Material Domestic Subsidiary that is required to become a Subsidiary Guarantor pursuant to the Collateral and Guarantee Requirement and (II) to the extent applicable, each direct or indirect parent of such applicable Material Domestic Subsidiary, in each case, to take customary action(s) (including the filing of Uniform Commercial Code financing statements and delivery of stock and membership interest certificates to the extent certificated) as may be necessary in the reasonable opinion of the Administrative Agent to vest in the Collateral Agent (or in any representative of the Collateral Agent designated by it) valid and perfected (subject to Liens permitted by Section 7.01 and to any applicable Intercreditor Agreement) Liens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 and</w:t>
      </w:r>
    </w:p>
    <w:p>
      <w:pPr>
        <w:spacing w:after="0" w:line="173" w:lineRule="exact"/>
        <w:rPr>
          <w:rFonts w:ascii="Times New Roman" w:cs="Times New Roman" w:eastAsia="Times New Roman" w:hAnsi="Times New Roman"/>
          <w:sz w:val="19"/>
          <w:szCs w:val="19"/>
          <w:color w:val="auto"/>
        </w:rPr>
      </w:pPr>
    </w:p>
    <w:p>
      <w:pPr>
        <w:ind w:right="360" w:firstLine="1880"/>
        <w:spacing w:after="0" w:line="249" w:lineRule="auto"/>
        <w:tabs>
          <w:tab w:leader="none" w:pos="2268"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reasonable request therefor by the Administrative Agent, deliver to the Administrative Agent a signed copy of a customary Opinion of Counsel, addressed to the Administrative Agent and the Lenders, of counsel for the Loan Parties reasonably acceptable to the Administrative Agent as to such matters set forth in this Section 6.11(1) as the Administrative Agent may reasonably request.</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6" w:lineRule="auto"/>
        <w:tabs>
          <w:tab w:leader="none" w:pos="2644" w:val="left"/>
        </w:tabs>
        <w:numPr>
          <w:ilvl w:val="2"/>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ninety (90) days (or such longer period as the Collateral Agent may agree in its sole discretion) after the formation, acquisition or designation of a Domestic Subsidiary that is required to become a Subsidiary Guarantor under the Collateral and Guarantee Requirement, the Borrower will, or will cause such Domestic Subsidiary to, furnish to the Collateral Agent a description of any Material Real Property (other than any Excluded Asset(s)) owned by such Material Domestic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6" w:name="page287"/>
    <w:bookmarkEnd w:id="286"/>
    <w:p>
      <w:pPr>
        <w:jc w:val="both"/>
        <w:ind w:left="380" w:firstLine="754"/>
        <w:spacing w:after="0" w:line="249" w:lineRule="auto"/>
        <w:tabs>
          <w:tab w:leader="none" w:pos="1524"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ninety (90) days (or such longer period as the Collateral Agent may agree in its sole discretion) after the acquisition of any Material Real Property (other than any Excluded Asset(s)) by a Loan Party, after the Effective Date, the Borrower will, or will cause such Loan Party to, furnish to the Collateral Agent a description of any such Material Real Property.</w:t>
      </w:r>
    </w:p>
    <w:p>
      <w:pPr>
        <w:spacing w:after="0" w:line="179" w:lineRule="exact"/>
        <w:rPr>
          <w:rFonts w:ascii="Times New Roman" w:cs="Times New Roman" w:eastAsia="Times New Roman" w:hAnsi="Times New Roman"/>
          <w:sz w:val="20"/>
          <w:szCs w:val="20"/>
          <w:color w:val="auto"/>
        </w:rPr>
      </w:pPr>
    </w:p>
    <w:p>
      <w:pPr>
        <w:jc w:val="both"/>
        <w:ind w:left="-360" w:firstLine="1120"/>
        <w:spacing w:after="0" w:line="249" w:lineRule="auto"/>
        <w:tabs>
          <w:tab w:leader="none" w:pos="1159"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The Borrower will, or will cause the applicable Loan Party to, provide the Collateral Agent with a Mortgage with respect to any Material Real Property that is the subject of a notice delivered pursuant to Section 6.11(2)(a), within one hundred and fifty (150) days of the acquisition, formation or designation of such Domestic Subsidiary or the acquisition of such Material Real Property (or such longer period as the Collateral Agent may agree in its sole discretion), together with:</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24"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counterparts of the Mortgages have been duly executed, acknowledged and delivered and are in form suitable for filing or recording in all filing or recording offices that the Collateral Agent may deem reasonably necessary or desirable in order to create, except to the extent otherwise provided hereunder, including subject to Liens permitted by Section 7.01, a valid and subsisting perfected Lien on such Material Real Property in favor of the Collateral Agent for the benefit of the Secured Parties and that all filing and recording taxes and fees have been paid or otherwise provided for in a manner reasonably satisfactory to the Collateral Agent;</w:t>
      </w:r>
    </w:p>
    <w:p>
      <w:pPr>
        <w:spacing w:after="0" w:line="184" w:lineRule="exact"/>
        <w:rPr>
          <w:sz w:val="20"/>
          <w:szCs w:val="20"/>
          <w:color w:val="auto"/>
        </w:rPr>
      </w:pPr>
    </w:p>
    <w:p>
      <w:pPr>
        <w:ind w:left="380" w:firstLine="754"/>
        <w:spacing w:after="0" w:line="242" w:lineRule="auto"/>
        <w:tabs>
          <w:tab w:leader="none" w:pos="152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paid American Land Title Association Lender’s title insurance policies (or marked up title commitments having the effect of policies of title insurance) or the equivalent or other form available in each applicable jurisdiction (the “</w:t>
      </w:r>
      <w:r>
        <w:rPr>
          <w:rFonts w:ascii="Times New Roman" w:cs="Times New Roman" w:eastAsia="Times New Roman" w:hAnsi="Times New Roman"/>
          <w:sz w:val="20"/>
          <w:szCs w:val="20"/>
          <w:b w:val="1"/>
          <w:bCs w:val="1"/>
          <w:color w:val="auto"/>
        </w:rPr>
        <w:t>Mortgage Policies</w:t>
      </w:r>
      <w:r>
        <w:rPr>
          <w:rFonts w:ascii="Times New Roman" w:cs="Times New Roman" w:eastAsia="Times New Roman" w:hAnsi="Times New Roman"/>
          <w:sz w:val="20"/>
          <w:szCs w:val="20"/>
          <w:color w:val="auto"/>
        </w:rPr>
        <w:t>”) in form and substance, with endorsements available in the applicable jurisdiction (it being agreed that zoning reports from a nationally recognized zoning company shall be acceptable in lieu of zoning endorsements to title policies in any jurisdiction where there is a material difference in the cost of zoning reports and zoning endorsements) and in amounts, reasonably acceptable to the Collateral Agent (not to exceed the fair market value of the real properties covered thereby), issued, coinsured and reinsured by title insurers reasonably acceptable to the Collateral Agent, insuring the Mortgages to be valid subsisting Liens on the property described therein, subject only to Liens permitted by Section 7.01 or such other Liens reasonably satisfactory to the Collateral Agent that do not have a material adverse impact on the use or value of the Mortgaged Properties, and providing for such other affirmative insurance and such coinsurance and direct access reinsurance as the Collateral Agent may reasonably request and is available in the applicable jurisdiction;</w:t>
      </w:r>
    </w:p>
    <w:p>
      <w:pPr>
        <w:spacing w:after="0" w:line="187"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Opinions of Counsel for the applicable Loan Parties in states in which such Material Real Properties are located, with respect to the enforceability and perfection of the Mortgage(s) and any related fixture filings and the due authorization, execution and delivery of the Mortgages, in form and substance reasonably satisfactory to the Collateral Agent;</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American Land Title/American Congress on Surveying and Mapping surveys (or, if reasonably acceptable to the Collateral Agent, zip or express maps) for each Material Real Property or existing surveys together with no change affidavits, in each case certified to the Collateral Agent if deemed necessary by the Collateral Agent in its reasonable discretion, sufficient for the title insurance company issuing a Mortgage Policy to remove the standard survey exception and issue standard survey related endorsements and otherwise reasonably satisfactory to the Collateral Agent;</w:t>
      </w:r>
    </w:p>
    <w:p>
      <w:pPr>
        <w:spacing w:after="0" w:line="3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287" w:name="page288"/>
    <w:bookmarkEnd w:id="287"/>
    <w:p>
      <w:pPr>
        <w:jc w:val="both"/>
        <w:ind w:left="1500" w:firstLine="754"/>
        <w:spacing w:after="0" w:line="254" w:lineRule="auto"/>
        <w:tabs>
          <w:tab w:leader="none" w:pos="2644"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completed “Life of Loan” Federal Emergency Management Agency standard flood hazard determination with respect to each Material Real Property containing improved land addressed to the Collateral Agent and otherwise in compliance with the Flood Insurance Laws; and</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671" w:val="left"/>
        </w:tabs>
        <w:numPr>
          <w:ilvl w:val="1"/>
          <w:numId w:val="3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as promptly as practicable after the reasonable request therefor by the Collateral Agent, environmental assessment reports and reliance letters (if any) that have been prepared in connection with such acquisition, designation or formation of any Material Domestic Subsidiary or acquisition of any Material Real Property;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there shall be no obligation to deliver to the Collateral Agent any environmental assessment report whose disclosure to the Collateral Agent would require the consent of a Person other than the Borrower or one of its Subsidiaries, where, despite the commercially reasonable efforts of the Borrower to obtain such consent, such consent cannot be obtained.</w:t>
      </w:r>
    </w:p>
    <w:p>
      <w:pPr>
        <w:spacing w:after="0" w:line="184" w:lineRule="exact"/>
        <w:rPr>
          <w:rFonts w:ascii="Times New Roman" w:cs="Times New Roman" w:eastAsia="Times New Roman" w:hAnsi="Times New Roman"/>
          <w:sz w:val="20"/>
          <w:szCs w:val="20"/>
          <w:u w:val="single" w:color="auto"/>
          <w:color w:val="auto"/>
        </w:rPr>
      </w:pPr>
    </w:p>
    <w:p>
      <w:pPr>
        <w:ind w:right="60" w:firstLine="1505"/>
        <w:spacing w:after="0" w:line="249" w:lineRule="auto"/>
        <w:tabs>
          <w:tab w:leader="none" w:pos="1893"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the Collateral Agent may grant one or more extensions of time from any time period set forth herein or grant one or more waivers for the taking of or causing any action, delivering or furnishing any notice, information, documents, insurance or opinions or for the creation and perfection of any Liens in its reasonable discretion and any such extensions or waivers may, in the sole discretion of the Collateral Agent, be effective retroactively.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-2056765</wp:posOffset>
            </wp:positionV>
            <wp:extent cx="25146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6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6.12</w:t>
      </w:r>
      <w:r>
        <w:rPr>
          <w:sz w:val="20"/>
          <w:szCs w:val="20"/>
          <w:color w:val="auto"/>
        </w:rPr>
        <w:tab/>
      </w:r>
      <w:r>
        <w:rPr>
          <w:rFonts w:ascii="Times New Roman" w:cs="Times New Roman" w:eastAsia="Times New Roman" w:hAnsi="Times New Roman"/>
          <w:sz w:val="19"/>
          <w:szCs w:val="19"/>
          <w:color w:val="auto"/>
        </w:rPr>
        <w:t>Further Assurances and Post-Closing Covenant.</w:t>
      </w:r>
    </w:p>
    <w:p>
      <w:pPr>
        <w:spacing w:after="0" w:line="216" w:lineRule="exact"/>
        <w:rPr>
          <w:sz w:val="20"/>
          <w:szCs w:val="20"/>
          <w:color w:val="auto"/>
        </w:rPr>
      </w:pPr>
    </w:p>
    <w:p>
      <w:pPr>
        <w:ind w:right="180" w:firstLine="1505"/>
        <w:spacing w:after="0" w:line="244" w:lineRule="auto"/>
        <w:tabs>
          <w:tab w:leader="none" w:pos="1893"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Collateral and Guarantee Requirement and any applicable limitations in any Collateral Document and in each case at the expense of the Borrower, promptly upon reasonable request from time to time by the Administrative Agent or the Collateral Agent or as may be required by applicable Laws (a) 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satisfy the Collateral and Guarantee Requirement.</w:t>
      </w:r>
    </w:p>
    <w:p>
      <w:pPr>
        <w:spacing w:after="0" w:line="185" w:lineRule="exact"/>
        <w:rPr>
          <w:rFonts w:ascii="Times New Roman" w:cs="Times New Roman" w:eastAsia="Times New Roman" w:hAnsi="Times New Roman"/>
          <w:sz w:val="20"/>
          <w:szCs w:val="20"/>
          <w:color w:val="auto"/>
        </w:rPr>
      </w:pPr>
    </w:p>
    <w:p>
      <w:pPr>
        <w:ind w:right="40" w:firstLine="1505"/>
        <w:spacing w:after="0" w:line="246" w:lineRule="auto"/>
        <w:tabs>
          <w:tab w:leader="none" w:pos="1893"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promptly as practicable, and in any event no later than sixty (60) days after the Closing Date or such later date as the Administrative Agent reasonably agrees to in writing (or as specified in </w:t>
      </w:r>
      <w:r>
        <w:rPr>
          <w:rFonts w:ascii="Times New Roman" w:cs="Times New Roman" w:eastAsia="Times New Roman" w:hAnsi="Times New Roman"/>
          <w:sz w:val="20"/>
          <w:szCs w:val="20"/>
          <w:u w:val="single" w:color="auto"/>
          <w:color w:val="auto"/>
        </w:rPr>
        <w:t>Schedule 6.12(2)</w:t>
      </w:r>
      <w:r>
        <w:rPr>
          <w:rFonts w:ascii="Times New Roman" w:cs="Times New Roman" w:eastAsia="Times New Roman" w:hAnsi="Times New Roman"/>
          <w:sz w:val="20"/>
          <w:szCs w:val="20"/>
          <w:color w:val="auto"/>
        </w:rPr>
        <w:t xml:space="preserve">), including to reasonably accommodate circumstances unforeseen on the Closing Date, deliver the documents or take the actions specified in </w:t>
      </w:r>
      <w:r>
        <w:rPr>
          <w:rFonts w:ascii="Times New Roman" w:cs="Times New Roman" w:eastAsia="Times New Roman" w:hAnsi="Times New Roman"/>
          <w:sz w:val="20"/>
          <w:szCs w:val="20"/>
          <w:u w:val="single" w:color="auto"/>
          <w:color w:val="auto"/>
        </w:rPr>
        <w:t>Schedule 6.12(2)</w:t>
      </w:r>
      <w:r>
        <w:rPr>
          <w:rFonts w:ascii="Times New Roman" w:cs="Times New Roman" w:eastAsia="Times New Roman" w:hAnsi="Times New Roman"/>
          <w:sz w:val="20"/>
          <w:szCs w:val="20"/>
          <w:color w:val="auto"/>
        </w:rPr>
        <w:t>, in each case except to the extent otherwise agreed by the Collateral Agent pursuant to its authority as set forth in the definition of the term “Collateral and Guarantee Requirement.”</w:t>
      </w:r>
    </w:p>
    <w:p>
      <w:pPr>
        <w:spacing w:after="0" w:line="185" w:lineRule="exact"/>
        <w:rPr>
          <w:sz w:val="20"/>
          <w:szCs w:val="20"/>
          <w:color w:val="auto"/>
        </w:rPr>
      </w:pPr>
    </w:p>
    <w:p>
      <w:pPr>
        <w:ind w:right="40" w:firstLine="1497"/>
        <w:spacing w:after="0" w:line="256" w:lineRule="auto"/>
        <w:rPr>
          <w:sz w:val="20"/>
          <w:szCs w:val="20"/>
          <w:color w:val="auto"/>
        </w:rPr>
      </w:pPr>
      <w:r>
        <w:rPr>
          <w:rFonts w:ascii="Times New Roman" w:cs="Times New Roman" w:eastAsia="Times New Roman" w:hAnsi="Times New Roman"/>
          <w:sz w:val="19"/>
          <w:szCs w:val="19"/>
          <w:color w:val="auto"/>
        </w:rPr>
        <w:t>SECTION 6.13 Use of Proceeds. The proceeds of (1) the Closing Date Term Loans, together with the proceeds of any Revolving Loans drawn on the Closing Date and cash on hand, will be used (a) to repay Indebtedness incurred under the Existing Credit Agreement, together with any premium and accrued and unpaid interest thereon and any fees and expenses with respect thereto and the Administrative Agent is irrevocably authorized and directed to disburse the proceeds of the Closing Date Term Loans to effect the Closing Date Refinancing, (b) to pay the Transaction Expenses (including to fund OID or upfront fees in connection with the Closing Date Loans) and (c) to otherwise fund working capital and general corporate purposes and (2) any Revolving Loans will be used (a) on the Closing Date,</w:t>
      </w:r>
    </w:p>
    <w:p>
      <w:pPr>
        <w:spacing w:after="0" w:line="1" w:lineRule="exact"/>
        <w:rPr>
          <w:sz w:val="20"/>
          <w:szCs w:val="20"/>
          <w:color w:val="auto"/>
        </w:rPr>
      </w:pPr>
    </w:p>
    <w:p>
      <w:pPr>
        <w:jc w:val="both"/>
        <w:ind w:right="600" w:firstLine="8"/>
        <w:spacing w:after="0" w:line="242" w:lineRule="auto"/>
        <w:tabs>
          <w:tab w:leader="none" w:pos="28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the Transaction Expenses (including to fund OID or upfront fees in connection with the Closing Date Loans), (y) to replace, backstop or cash collateralize letters of credit, letters of guarantee and bankers’ acceptances or to issue other letters of credit, letters of guarantee or bankers’ acceptances for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8" w:name="page289"/>
    <w:bookmarkEnd w:id="288"/>
    <w:p>
      <w:pPr>
        <w:ind w:right="240"/>
        <w:spacing w:after="0" w:line="269" w:lineRule="auto"/>
        <w:rPr>
          <w:sz w:val="20"/>
          <w:szCs w:val="20"/>
          <w:color w:val="auto"/>
        </w:rPr>
      </w:pPr>
      <w:r>
        <w:rPr>
          <w:rFonts w:ascii="Times New Roman" w:cs="Times New Roman" w:eastAsia="Times New Roman" w:hAnsi="Times New Roman"/>
          <w:sz w:val="20"/>
          <w:szCs w:val="20"/>
          <w:color w:val="auto"/>
        </w:rPr>
        <w:t>general corporate purposes on the Closing Date and (z) to otherwise fund working capital and general corporate purposes, and (b) after the Closing Date, for working capital and general corporate purposes and for any other purpose not prohibited by the Loan Documents.</w:t>
      </w:r>
    </w:p>
    <w:p>
      <w:pPr>
        <w:spacing w:after="0" w:line="159" w:lineRule="exact"/>
        <w:rPr>
          <w:sz w:val="20"/>
          <w:szCs w:val="20"/>
          <w:color w:val="auto"/>
        </w:rPr>
      </w:pPr>
    </w:p>
    <w:p>
      <w:pPr>
        <w:ind w:right="260" w:firstLine="1497"/>
        <w:spacing w:after="0" w:line="245" w:lineRule="auto"/>
        <w:rPr>
          <w:sz w:val="20"/>
          <w:szCs w:val="20"/>
          <w:color w:val="auto"/>
        </w:rPr>
      </w:pPr>
      <w:r>
        <w:rPr>
          <w:rFonts w:ascii="Times New Roman" w:cs="Times New Roman" w:eastAsia="Times New Roman" w:hAnsi="Times New Roman"/>
          <w:sz w:val="20"/>
          <w:szCs w:val="20"/>
          <w:color w:val="auto"/>
        </w:rPr>
        <w:t>SECTION 6.14 Regulatory Matters. Each Loan Party shall use commercially reasonable efforts to, and shall use commercially reasonable efforts to cause each of its Subsidiaries and the Affiliated Practices to, (i) comply in all material respects with all applicable Health Care Laws relating to the operation of its business, (ii) keep and maintain all records required to be maintained by any Governmental Authority or under any Health Care Law, and (iii) maintain a corporate and health care regulatory compliance program that addresses the requirements of Health Care Laws, in each case, except where such would not reasonably be expected to have a Material Adverse Effect.</w:t>
      </w:r>
    </w:p>
    <w:p>
      <w:pPr>
        <w:spacing w:after="0" w:line="18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6.15</w:t>
      </w:r>
      <w:r>
        <w:rPr>
          <w:sz w:val="20"/>
          <w:szCs w:val="20"/>
          <w:color w:val="auto"/>
        </w:rPr>
        <w:tab/>
      </w:r>
      <w:r>
        <w:rPr>
          <w:rFonts w:ascii="Times New Roman" w:cs="Times New Roman" w:eastAsia="Times New Roman" w:hAnsi="Times New Roman"/>
          <w:sz w:val="19"/>
          <w:szCs w:val="19"/>
          <w:color w:val="auto"/>
        </w:rPr>
        <w:t>Transactions with Affiliates.</w:t>
      </w:r>
    </w:p>
    <w:p>
      <w:pPr>
        <w:spacing w:after="0" w:line="216" w:lineRule="exact"/>
        <w:rPr>
          <w:sz w:val="20"/>
          <w:szCs w:val="20"/>
          <w:color w:val="auto"/>
        </w:rPr>
      </w:pPr>
    </w:p>
    <w:p>
      <w:pPr>
        <w:ind w:firstLine="1505"/>
        <w:spacing w:after="0" w:line="243" w:lineRule="auto"/>
        <w:tabs>
          <w:tab w:leader="none" w:pos="1778"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Borrower (each of the foregoing, an “</w:t>
      </w:r>
      <w:r>
        <w:rPr>
          <w:rFonts w:ascii="Times New Roman" w:cs="Times New Roman" w:eastAsia="Times New Roman" w:hAnsi="Times New Roman"/>
          <w:sz w:val="20"/>
          <w:szCs w:val="20"/>
          <w:b w:val="1"/>
          <w:bCs w:val="1"/>
          <w:color w:val="auto"/>
        </w:rPr>
        <w:t>Affiliate Transaction</w:t>
      </w:r>
      <w:r>
        <w:rPr>
          <w:rFonts w:ascii="Times New Roman" w:cs="Times New Roman" w:eastAsia="Times New Roman" w:hAnsi="Times New Roman"/>
          <w:sz w:val="20"/>
          <w:szCs w:val="20"/>
          <w:color w:val="auto"/>
        </w:rPr>
        <w:t>”) involving aggregate payments or consideration in excess of $11,500,000, unless such Affiliate Transaction is on terms, taken as a whole, that are not materially less favorable to the Borrower or the relevant Restricted Subsidiary than those that would have been obtained at such time in a comparable transaction by the Borrower or such Restricted Subsidiary with a Person other than an Affiliate of the Borrower on an arm’s-length basis or, if in the good faith judgment of the Board of Directors no comparable transaction is available with which to compare such Affiliate Transaction, such Affiliate Transaction is otherwise fair to the Borrower or such Restricted Subsidiary from a financial point of view.</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restriction will not apply to the following:</w:t>
      </w:r>
    </w:p>
    <w:p>
      <w:pPr>
        <w:spacing w:after="0" w:line="215" w:lineRule="exact"/>
        <w:rPr>
          <w:rFonts w:ascii="Times New Roman" w:cs="Times New Roman" w:eastAsia="Times New Roman" w:hAnsi="Times New Roman"/>
          <w:sz w:val="20"/>
          <w:szCs w:val="20"/>
          <w:color w:val="auto"/>
        </w:rPr>
      </w:pPr>
    </w:p>
    <w:p>
      <w:pPr>
        <w:ind w:right="180" w:firstLine="1880"/>
        <w:spacing w:after="0" w:line="245" w:lineRule="auto"/>
        <w:tabs>
          <w:tab w:leader="none" w:pos="2268"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transactions between or among the Borrower and one or more Restricted Subsidiaries or between or among Restricted Subsidiaries or, in any case, any Person that becomes a Restricted Subsidiary as a result of such transaction, (ii) any merger, consolidation or amalgamation of the Borrower and any Parent Company; provided that such merger, consolidation or amalgamation of the Borrower is otherwise in compliance with the terms of this Agreement and (iii) transactions with Affiliated Practices (or any Person that becomes an Affiliated Practice as a result of a Specified Transaction) or any equity holders or Related Professionals thereof in connection therewith;</w:t>
      </w:r>
    </w:p>
    <w:p>
      <w:pPr>
        <w:spacing w:after="0" w:line="184" w:lineRule="exact"/>
        <w:rPr>
          <w:rFonts w:ascii="Times New Roman" w:cs="Times New Roman" w:eastAsia="Times New Roman" w:hAnsi="Times New Roman"/>
          <w:sz w:val="20"/>
          <w:szCs w:val="20"/>
          <w:color w:val="auto"/>
        </w:rPr>
      </w:pPr>
    </w:p>
    <w:p>
      <w:pPr>
        <w:ind w:right="60" w:firstLine="1880"/>
        <w:spacing w:after="0" w:line="249" w:lineRule="auto"/>
        <w:tabs>
          <w:tab w:leader="none" w:pos="2268"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Restricted Payments permitted by Section 7.05 (including any transaction specifically excluded from the definition of the term “Restricted Payments,” including pursuant to the exceptions contained in the definition thereof and the parenthetical exclusions of such definition, but excluding any Restricted Payment permitted by Section 7.05(2)(n)(vi)), (ii) any Permitted Investment(s) or any acquisition otherwise permitted hereunder and (iii) Indebtedness permitted by Section 7.02;</w:t>
      </w:r>
    </w:p>
    <w:p>
      <w:pPr>
        <w:spacing w:after="0" w:line="179" w:lineRule="exact"/>
        <w:rPr>
          <w:rFonts w:ascii="Times New Roman" w:cs="Times New Roman" w:eastAsia="Times New Roman" w:hAnsi="Times New Roman"/>
          <w:sz w:val="20"/>
          <w:szCs w:val="20"/>
          <w:color w:val="auto"/>
        </w:rPr>
      </w:pPr>
    </w:p>
    <w:p>
      <w:pPr>
        <w:ind w:right="180" w:firstLine="1880"/>
        <w:spacing w:after="0" w:line="244" w:lineRule="auto"/>
        <w:tabs>
          <w:tab w:leader="none" w:pos="2268"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payment of management, consulting, monitoring, transaction, advisory and other fees, indemnities and expenses pursuant to the Management Services Agreement or otherwise payable to the Investor or any Co-Investor that is permitted by this Agreement (including any unpaid management, consulting, monitoring, transaction, advisory and other fees, indemnities and expenses accrued in any prior year) and any termination fees pursuant to the Management Services Agreement, or any amendment thereto or replacement thereof so long as any such amendment or replacement is not materially disadvantageous in the good faith judgment of the Board of Directors to the Lenders when taken as a whole, as compared to the Management Services Agreement as in effect on the Closing Date;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89" w:name="page290"/>
    <w:bookmarkEnd w:id="289"/>
    <w:p>
      <w:pPr>
        <w:ind w:left="-360" w:right="780" w:firstLine="1387"/>
        <w:spacing w:after="0" w:line="254" w:lineRule="auto"/>
        <w:tabs>
          <w:tab w:leader="none" w:pos="142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indemnification and similar amounts to, and reimbursement of expenses to, the Investors or any Co-Investor and their respective officers, directors, employees and Affiliates, in each case, approved by, or pursuant to arrangements approved by, the Board of Directors;</w:t>
      </w:r>
    </w:p>
    <w:p>
      <w:pPr>
        <w:spacing w:after="0" w:line="174" w:lineRule="exact"/>
        <w:rPr>
          <w:rFonts w:ascii="Times New Roman" w:cs="Times New Roman" w:eastAsia="Times New Roman" w:hAnsi="Times New Roman"/>
          <w:sz w:val="20"/>
          <w:szCs w:val="20"/>
          <w:color w:val="auto"/>
        </w:rPr>
      </w:pPr>
    </w:p>
    <w:p>
      <w:pPr>
        <w:ind w:left="-360" w:right="700" w:firstLine="1387"/>
        <w:spacing w:after="0" w:line="274" w:lineRule="auto"/>
        <w:tabs>
          <w:tab w:leader="none" w:pos="1426"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loans, advances or guarantees (or cancellation of loans, advances or guarantees) to future, present or former employees, officers, directors, managers, consultants or independent contractors or guarantees in respect thereof for bona fide business purposes or in the ordinary course of business or consistent with industry practice;</w:t>
      </w:r>
    </w:p>
    <w:p>
      <w:pPr>
        <w:spacing w:after="0" w:line="156" w:lineRule="exact"/>
        <w:rPr>
          <w:rFonts w:ascii="Times New Roman" w:cs="Times New Roman" w:eastAsia="Times New Roman" w:hAnsi="Times New Roman"/>
          <w:sz w:val="19"/>
          <w:szCs w:val="19"/>
          <w:color w:val="auto"/>
        </w:rPr>
      </w:pPr>
    </w:p>
    <w:p>
      <w:pPr>
        <w:ind w:left="-360" w:right="960" w:firstLine="1387"/>
        <w:spacing w:after="0" w:line="254" w:lineRule="auto"/>
        <w:tabs>
          <w:tab w:leader="none" w:pos="142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subscription agreement or similar agreement pertaining to the repurchase of Equity Interests pursuant to put/call rights or similar rights with current, former or future officers, directors, employees, managers, consultants and independent contractors of the Borrower, any Subsidiary or any Parent Company;</w:t>
      </w:r>
    </w:p>
    <w:p>
      <w:pPr>
        <w:spacing w:after="0" w:line="174" w:lineRule="exact"/>
        <w:rPr>
          <w:rFonts w:ascii="Times New Roman" w:cs="Times New Roman" w:eastAsia="Times New Roman" w:hAnsi="Times New Roman"/>
          <w:sz w:val="20"/>
          <w:szCs w:val="20"/>
          <w:color w:val="auto"/>
        </w:rPr>
      </w:pPr>
    </w:p>
    <w:p>
      <w:pPr>
        <w:ind w:left="-360" w:right="660" w:firstLine="1387"/>
        <w:spacing w:after="0" w:line="254" w:lineRule="auto"/>
        <w:tabs>
          <w:tab w:leader="none" w:pos="142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of compensation or other employee compensation, benefit plan or arrangement, any health, disability or similar insurance plan which covers current, former or future officers, directors, employees, managers, consultants and independent contractors of the Borrower, any Subsidiary or any Parent Company;</w:t>
      </w:r>
    </w:p>
    <w:p>
      <w:pPr>
        <w:spacing w:after="0" w:line="174" w:lineRule="exact"/>
        <w:rPr>
          <w:rFonts w:ascii="Times New Roman" w:cs="Times New Roman" w:eastAsia="Times New Roman" w:hAnsi="Times New Roman"/>
          <w:sz w:val="20"/>
          <w:szCs w:val="20"/>
          <w:color w:val="auto"/>
        </w:rPr>
      </w:pPr>
    </w:p>
    <w:p>
      <w:pPr>
        <w:ind w:left="-360" w:right="20" w:firstLine="1589"/>
        <w:spacing w:after="0" w:line="246" w:lineRule="auto"/>
        <w:tabs>
          <w:tab w:leader="none" w:pos="1628"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fees and compensation paid to, and indemnities and reimbursements and employment and severance arrangements provided to, or on behalf of or for the benefit of, present, future or former employees, directors, officers, members of management, Related Professionals, consultants or independent contractors (or their respective Controlled Investment Affiliates or Immediate Family Members or any permitted transferees thereof) of the Borrower, any Parent Company, any Restricted Subsidiary or any Affiliated Practice;</w:t>
      </w:r>
    </w:p>
    <w:p>
      <w:pPr>
        <w:spacing w:after="0" w:line="184" w:lineRule="exact"/>
        <w:rPr>
          <w:rFonts w:ascii="Times New Roman" w:cs="Times New Roman" w:eastAsia="Times New Roman" w:hAnsi="Times New Roman"/>
          <w:sz w:val="20"/>
          <w:szCs w:val="20"/>
          <w:color w:val="auto"/>
        </w:rPr>
      </w:pPr>
    </w:p>
    <w:p>
      <w:pPr>
        <w:ind w:left="-360" w:firstLine="1589"/>
        <w:spacing w:after="0" w:line="244" w:lineRule="auto"/>
        <w:tabs>
          <w:tab w:leader="none" w:pos="1628"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which (x) the Borrower or any Restricted Subsidiary, as the case may be, delivers to the Administrative Agent a letter from an Independent Financial Advisor stating that such transaction is fair to the Borrower or such Restricted Subsidiary from a financial point of view or stating that the terms, when taken as a whole, are not materially less favorable to the Borrower and the relevant Restricted Subsidiary than those that would have been obtained in a comparable transaction by the Borrower or such Restricted Subsidiary with a Person that is not an Affiliate of the Borrower on an arm’s-length basis or (y) the terms of such Affiliate Transaction have been approved by a majority of the Disinterested Directors of the Borrower or any Parent Company thereof;</w:t>
      </w:r>
    </w:p>
    <w:p>
      <w:pPr>
        <w:spacing w:after="0" w:line="185" w:lineRule="exact"/>
        <w:rPr>
          <w:rFonts w:ascii="Times New Roman" w:cs="Times New Roman" w:eastAsia="Times New Roman" w:hAnsi="Times New Roman"/>
          <w:sz w:val="20"/>
          <w:szCs w:val="20"/>
          <w:color w:val="auto"/>
        </w:rPr>
      </w:pPr>
    </w:p>
    <w:p>
      <w:pPr>
        <w:ind w:left="-360" w:firstLine="1589"/>
        <w:spacing w:after="0" w:line="249" w:lineRule="auto"/>
        <w:tabs>
          <w:tab w:leader="none" w:pos="1628"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or the performance by the Borrower or any Restricted Subsidiary of its obligations under the terms of, any agreement as in effect as of the Closing Date or any amendment thereto or replacement thereof (so long as any such amendment or replacement is not materially disadvantageous in the good faith judgment of the Board of Directors to the Lenders, when taken as a whole, as compared to the applicable agreement as in effect on the Closing Date);</w:t>
      </w:r>
    </w:p>
    <w:p>
      <w:pPr>
        <w:spacing w:after="0" w:line="179" w:lineRule="exact"/>
        <w:rPr>
          <w:rFonts w:ascii="Times New Roman" w:cs="Times New Roman" w:eastAsia="Times New Roman" w:hAnsi="Times New Roman"/>
          <w:sz w:val="20"/>
          <w:szCs w:val="20"/>
          <w:color w:val="auto"/>
        </w:rPr>
      </w:pPr>
    </w:p>
    <w:p>
      <w:pPr>
        <w:ind w:left="-360" w:firstLine="1589"/>
        <w:spacing w:after="0" w:line="246" w:lineRule="auto"/>
        <w:tabs>
          <w:tab w:leader="none" w:pos="1628"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or the performance by the Borrower or any Restricted Subsidiary of its obligations under the terms of, any equity holders agreement or the equivalent (including any registration rights agreement or purchase agreement related thereto) to which it is a party as of the Closing Date and any amendment thereto and, similar agreements or arrangements that it may enter into thereafter; provided that the existence of, or the performance by the Borrower or any Restricted Subsidiary of obligations under, any future amendment to any</w:t>
      </w:r>
    </w:p>
    <w:p>
      <w:pPr>
        <w:spacing w:after="0" w:line="3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13" w:right="459" w:bottom="1440" w:gutter="0" w:footer="0" w:header="0"/>
        </w:sectPr>
      </w:pPr>
    </w:p>
    <w:bookmarkStart w:id="290" w:name="page291"/>
    <w:bookmarkEnd w:id="290"/>
    <w:p>
      <w:pPr>
        <w:ind w:right="40"/>
        <w:spacing w:after="0" w:line="249" w:lineRule="auto"/>
        <w:rPr>
          <w:sz w:val="20"/>
          <w:szCs w:val="20"/>
          <w:color w:val="auto"/>
        </w:rPr>
      </w:pPr>
      <w:r>
        <w:rPr>
          <w:rFonts w:ascii="Times New Roman" w:cs="Times New Roman" w:eastAsia="Times New Roman" w:hAnsi="Times New Roman"/>
          <w:sz w:val="20"/>
          <w:szCs w:val="20"/>
          <w:color w:val="auto"/>
        </w:rPr>
        <w:t xml:space="preserve">such existing agreement or arrangement or under any similar agreement or arrangement entered into after the Closing Date will only be permitted by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to the extent that the terms of any such amendment or new agreement or arrangement are not otherwise materially disadvantageous in the good faith judgment of the Board of Directors to the Lenders, when taken as a whole, as compared to the original agreement or arrangement in effect on the Closing Date;</w:t>
      </w:r>
    </w:p>
    <w:p>
      <w:pPr>
        <w:spacing w:after="0" w:line="180" w:lineRule="exact"/>
        <w:rPr>
          <w:sz w:val="20"/>
          <w:szCs w:val="20"/>
          <w:color w:val="auto"/>
        </w:rPr>
      </w:pPr>
    </w:p>
    <w:p>
      <w:pPr>
        <w:ind w:left="1980" w:hanging="391"/>
        <w:spacing w:after="0"/>
        <w:tabs>
          <w:tab w:leader="none" w:pos="1980"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and the payment of all fees and expenses related to the Transactions, including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Expenses;</w:t>
      </w:r>
    </w:p>
    <w:p>
      <w:pPr>
        <w:spacing w:after="0" w:line="193" w:lineRule="exact"/>
        <w:rPr>
          <w:rFonts w:ascii="Times New Roman" w:cs="Times New Roman" w:eastAsia="Times New Roman" w:hAnsi="Times New Roman"/>
          <w:sz w:val="20"/>
          <w:szCs w:val="20"/>
          <w:color w:val="auto"/>
        </w:rPr>
      </w:pPr>
    </w:p>
    <w:p>
      <w:pPr>
        <w:ind w:right="60" w:firstLine="1589"/>
        <w:spacing w:after="0" w:line="245" w:lineRule="auto"/>
        <w:tabs>
          <w:tab w:leader="none" w:pos="198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suppliers, contractors, joint venture partners or purchasers or sellers of goods or services, or transactions otherwise relating to the purchase or sale of goods or services, in each case in the ordinary course of business or consistent with industry practice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w:t>
      </w:r>
    </w:p>
    <w:p>
      <w:pPr>
        <w:spacing w:after="0" w:line="184" w:lineRule="exact"/>
        <w:rPr>
          <w:rFonts w:ascii="Times New Roman" w:cs="Times New Roman" w:eastAsia="Times New Roman" w:hAnsi="Times New Roman"/>
          <w:sz w:val="20"/>
          <w:szCs w:val="20"/>
          <w:color w:val="auto"/>
        </w:rPr>
      </w:pPr>
    </w:p>
    <w:p>
      <w:pPr>
        <w:jc w:val="both"/>
        <w:ind w:right="180" w:firstLine="1589"/>
        <w:spacing w:after="0" w:line="254" w:lineRule="auto"/>
        <w:tabs>
          <w:tab w:leader="none" w:pos="198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sale or transfer of Equity Interests (other than Disqualified Stock) of the Borrower or any Parent Company to any Person and the granting and performing of customary rights (including registration rights) in connection therewith, and any contribution to the capital of the Borrower;</w:t>
      </w:r>
    </w:p>
    <w:p>
      <w:pPr>
        <w:spacing w:after="0" w:line="174" w:lineRule="exact"/>
        <w:rPr>
          <w:rFonts w:ascii="Times New Roman" w:cs="Times New Roman" w:eastAsia="Times New Roman" w:hAnsi="Times New Roman"/>
          <w:sz w:val="20"/>
          <w:szCs w:val="20"/>
          <w:color w:val="auto"/>
        </w:rPr>
      </w:pPr>
    </w:p>
    <w:p>
      <w:pPr>
        <w:ind w:right="640" w:firstLine="1589"/>
        <w:spacing w:after="0" w:line="254" w:lineRule="auto"/>
        <w:tabs>
          <w:tab w:leader="none" w:pos="198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accounts receivable, or participations therein, or Securitization Assets or related assets in connection with any Qualified Securitization Facility and any other transaction effected in connection with a Qualified Securitization Facility or a financing related thereto;</w:t>
      </w:r>
    </w:p>
    <w:p>
      <w:pPr>
        <w:spacing w:after="0" w:line="174" w:lineRule="exact"/>
        <w:rPr>
          <w:rFonts w:ascii="Times New Roman" w:cs="Times New Roman" w:eastAsia="Times New Roman" w:hAnsi="Times New Roman"/>
          <w:sz w:val="20"/>
          <w:szCs w:val="20"/>
          <w:color w:val="auto"/>
        </w:rPr>
      </w:pPr>
    </w:p>
    <w:p>
      <w:pPr>
        <w:ind w:right="260" w:firstLine="1589"/>
        <w:spacing w:after="0" w:line="249" w:lineRule="auto"/>
        <w:tabs>
          <w:tab w:leader="none" w:pos="198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by the Borrower or any Restricted Subsidiary made for any financial advisory, consulting, financing, underwriting or placement services or in respect of other investment banking activities, including in connection with acquisitions or divestitures, which payments are approved by, or made pursuant to arrangements approved by, a majority of the Board of Directors in good faith;</w:t>
      </w:r>
    </w:p>
    <w:p>
      <w:pPr>
        <w:spacing w:after="0" w:line="179" w:lineRule="exact"/>
        <w:rPr>
          <w:rFonts w:ascii="Times New Roman" w:cs="Times New Roman" w:eastAsia="Times New Roman" w:hAnsi="Times New Roman"/>
          <w:sz w:val="20"/>
          <w:szCs w:val="20"/>
          <w:color w:val="auto"/>
        </w:rPr>
      </w:pPr>
    </w:p>
    <w:p>
      <w:pPr>
        <w:ind w:firstLine="1589"/>
        <w:spacing w:after="0" w:line="242" w:lineRule="auto"/>
        <w:tabs>
          <w:tab w:leader="none" w:pos="198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with respect to Indebtedness, Disqualified Stock and other Equity Interests (and cancellation of any thereof) of the Borrower, any Parent Company and any Restricted Subsidiary and Preferred Stock (and cancellation of any thereof) of any Restricted Subsidiary to any future, current or former employee, director, officer, member of management, consultant or independent contractor (or their respective Controlled Investment Affiliates or Immediate Family Members or permitted transferees) of the Borrower, any of its Subsidiaries or any Parent Company pursuant to any management equity plan or stock option plan or any other management or employee benefit plan or agreement or any equity subscription or equity holder agreement that are, in each case, approved by the Borrower in good faith; and any employment agreements, severance arrangements, stock option plans and other compensatory arrangements (and any successor plans thereto) and any supplemental executive retirement benefit plans or arrangements with any such employees, directors, officers, members of management, consultants or independent contractors (or their respective Controlled Investment Affiliates or Immediate Family Members or any permitted transferees thereof) that are, in each case, approved by the Borrower in good faith;</w:t>
      </w:r>
    </w:p>
    <w:p>
      <w:pPr>
        <w:spacing w:after="0" w:line="189" w:lineRule="exact"/>
        <w:rPr>
          <w:rFonts w:ascii="Times New Roman" w:cs="Times New Roman" w:eastAsia="Times New Roman" w:hAnsi="Times New Roman"/>
          <w:sz w:val="20"/>
          <w:szCs w:val="20"/>
          <w:color w:val="auto"/>
        </w:rPr>
      </w:pPr>
    </w:p>
    <w:p>
      <w:pPr>
        <w:ind w:right="200" w:firstLine="1589"/>
        <w:spacing w:after="0" w:line="269" w:lineRule="auto"/>
        <w:tabs>
          <w:tab w:leader="none" w:pos="198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by Affiliates in securities or Indebtedness of the Borrower or any Restricted Subsidiary (and payment of reasonable out-of-pocket expenses</w:t>
      </w:r>
    </w:p>
    <w:p>
      <w:pPr>
        <w:spacing w:after="0" w:line="36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080" w:top="1413" w:right="499" w:bottom="1440" w:gutter="0" w:footer="0" w:header="0"/>
        </w:sectPr>
      </w:pPr>
    </w:p>
    <w:bookmarkStart w:id="291" w:name="page292"/>
    <w:bookmarkEnd w:id="291"/>
    <w:p>
      <w:pPr>
        <w:ind w:right="20"/>
        <w:spacing w:after="0" w:line="246" w:lineRule="auto"/>
        <w:rPr>
          <w:sz w:val="20"/>
          <w:szCs w:val="20"/>
          <w:color w:val="auto"/>
        </w:rPr>
      </w:pPr>
      <w:r>
        <w:rPr>
          <w:rFonts w:ascii="Times New Roman" w:cs="Times New Roman" w:eastAsia="Times New Roman" w:hAnsi="Times New Roman"/>
          <w:sz w:val="20"/>
          <w:szCs w:val="20"/>
          <w:color w:val="auto"/>
        </w:rPr>
        <w:t xml:space="preserve">incurred by such Affiliates in connection therewith) so long as the investment is being offered by the Borrower or such Restricted Subsidiary generally to other investors on the same or more favorable terms and (ii) payments to Affiliates in respect of securities or Indebtedness of the Borrower or any Restricted Subsidiary contemplated in the foregoing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or that were acquired from Persons other than the Borrower and the Restricted Subsidiaries, in each case, in accordance with the terms of such securities or Indebtedness;</w:t>
      </w:r>
    </w:p>
    <w:p>
      <w:pPr>
        <w:spacing w:after="0" w:line="185" w:lineRule="exact"/>
        <w:rPr>
          <w:sz w:val="20"/>
          <w:szCs w:val="20"/>
          <w:color w:val="auto"/>
        </w:rPr>
      </w:pPr>
    </w:p>
    <w:p>
      <w:pPr>
        <w:ind w:right="460" w:firstLine="1589"/>
        <w:spacing w:after="0" w:line="295" w:lineRule="auto"/>
        <w:tabs>
          <w:tab w:leader="none" w:pos="1988"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to or from, and transactions with, any joint venture in the ordinary course of business or consistent with past practice, industry practice or industry norms (including, any cash management activities related thereto);</w:t>
      </w:r>
    </w:p>
    <w:p>
      <w:pPr>
        <w:spacing w:after="0" w:line="137" w:lineRule="exact"/>
        <w:rPr>
          <w:rFonts w:ascii="Times New Roman" w:cs="Times New Roman" w:eastAsia="Times New Roman" w:hAnsi="Times New Roman"/>
          <w:sz w:val="19"/>
          <w:szCs w:val="19"/>
          <w:color w:val="auto"/>
        </w:rPr>
      </w:pPr>
    </w:p>
    <w:p>
      <w:pPr>
        <w:ind w:right="420" w:firstLine="1589"/>
        <w:spacing w:after="0" w:line="254" w:lineRule="auto"/>
        <w:tabs>
          <w:tab w:leader="none" w:pos="198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by the Borrower (and any Parent Company) and its Subsidiaries pursuant to tax sharing agreements among the Borrower (and any Parent Company) and its Subsidiaries; provided that payments by the Borrower are permitted under </w:t>
      </w:r>
      <w:r>
        <w:rPr>
          <w:rFonts w:ascii="Times New Roman" w:cs="Times New Roman" w:eastAsia="Times New Roman" w:hAnsi="Times New Roman"/>
          <w:sz w:val="20"/>
          <w:szCs w:val="20"/>
          <w:u w:val="single" w:color="auto"/>
          <w:color w:val="auto"/>
        </w:rPr>
        <w:t>Section 7.05(2)(n)</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right="120" w:firstLine="1589"/>
        <w:spacing w:after="0" w:line="254" w:lineRule="auto"/>
        <w:tabs>
          <w:tab w:leader="none" w:pos="198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 entered into between the Borrower or any Restricted Subsidiary, as lessee, and any Affiliate of the Borrower, as lessor, and any transaction(s) pursuant to that lease, which lease is approved by the Board of Directors or senior management of the Borrower in good faith;</w:t>
      </w:r>
    </w:p>
    <w:p>
      <w:pPr>
        <w:spacing w:after="0" w:line="174" w:lineRule="exact"/>
        <w:rPr>
          <w:rFonts w:ascii="Times New Roman" w:cs="Times New Roman" w:eastAsia="Times New Roman" w:hAnsi="Times New Roman"/>
          <w:sz w:val="20"/>
          <w:szCs w:val="20"/>
          <w:color w:val="auto"/>
        </w:rPr>
      </w:pPr>
    </w:p>
    <w:p>
      <w:pPr>
        <w:jc w:val="both"/>
        <w:ind w:firstLine="1589"/>
        <w:spacing w:after="0" w:line="249" w:lineRule="auto"/>
        <w:tabs>
          <w:tab w:leader="none" w:pos="198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intellectual property licenses or sublicenses in the ordinary course of business or consistent with industry practice;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notwithstanding anything herein to the contrary, neither the Borrower nor any Restricted Subsidiary shall grant an exclusive license of any Material Intellectual Property to any Affiliate of the Borrower or any Restricted Subsidiary (other than to the Borrower, any other Restricted Subsidiary or any Affiliated Practice);</w:t>
      </w:r>
    </w:p>
    <w:p>
      <w:pPr>
        <w:spacing w:after="0" w:line="179" w:lineRule="exact"/>
        <w:rPr>
          <w:rFonts w:ascii="Times New Roman" w:cs="Times New Roman" w:eastAsia="Times New Roman" w:hAnsi="Times New Roman"/>
          <w:sz w:val="20"/>
          <w:szCs w:val="20"/>
          <w:color w:val="auto"/>
        </w:rPr>
      </w:pPr>
    </w:p>
    <w:p>
      <w:pPr>
        <w:jc w:val="both"/>
        <w:ind w:firstLine="1589"/>
        <w:spacing w:after="0" w:line="254" w:lineRule="auto"/>
        <w:tabs>
          <w:tab w:leader="none" w:pos="198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reasonable out-of-pocket costs and expenses relating to registration rights and indemnities provided to equity holders of the Borrower or any Parent Company pursuant to any equity holders agreement or registration rights agreement entered into on or after the Closing Date;</w:t>
      </w:r>
    </w:p>
    <w:p>
      <w:pPr>
        <w:spacing w:after="0" w:line="174" w:lineRule="exact"/>
        <w:rPr>
          <w:rFonts w:ascii="Times New Roman" w:cs="Times New Roman" w:eastAsia="Times New Roman" w:hAnsi="Times New Roman"/>
          <w:sz w:val="20"/>
          <w:szCs w:val="20"/>
          <w:color w:val="auto"/>
        </w:rPr>
      </w:pPr>
    </w:p>
    <w:p>
      <w:pPr>
        <w:ind w:right="560" w:firstLine="1589"/>
        <w:spacing w:after="0" w:line="269" w:lineRule="auto"/>
        <w:tabs>
          <w:tab w:leader="none" w:pos="198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by, and complying with,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solely for the purpose of (i) forming a holding company or (ii) reincorporating the Borrower in a new jurisdiction;</w:t>
      </w:r>
    </w:p>
    <w:p>
      <w:pPr>
        <w:spacing w:after="0" w:line="159" w:lineRule="exact"/>
        <w:rPr>
          <w:rFonts w:ascii="Times New Roman" w:cs="Times New Roman" w:eastAsia="Times New Roman" w:hAnsi="Times New Roman"/>
          <w:sz w:val="20"/>
          <w:szCs w:val="20"/>
          <w:color w:val="auto"/>
        </w:rPr>
      </w:pPr>
    </w:p>
    <w:p>
      <w:pPr>
        <w:ind w:right="40" w:firstLine="1589"/>
        <w:spacing w:after="0" w:line="245" w:lineRule="auto"/>
        <w:tabs>
          <w:tab w:leader="none" w:pos="198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undertaken in good faith (as determined by the Board of Directors or certified by senior management of the Borrower in an Officer’s Certificate) for the purposes of improving the consolidated tax efficiency of the Borrower and its Restricted Subsidiaries and not for the purpose of circumventing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of this Agreement; so long as such transactions, when taken as a whole, do not result in a material adverse effect on the Liens on the Collateral granted by the Loan Parties in favor of the Secured Parties, when taken as a whole, in each case, as determined in good faith by the Board of Directors or certified by senior management of the Borrower in an Officer’s Certificate;</w:t>
      </w:r>
    </w:p>
    <w:p>
      <w:pPr>
        <w:spacing w:after="0" w:line="184" w:lineRule="exact"/>
        <w:rPr>
          <w:rFonts w:ascii="Times New Roman" w:cs="Times New Roman" w:eastAsia="Times New Roman" w:hAnsi="Times New Roman"/>
          <w:sz w:val="20"/>
          <w:szCs w:val="20"/>
          <w:color w:val="auto"/>
        </w:rPr>
      </w:pPr>
    </w:p>
    <w:p>
      <w:pPr>
        <w:ind w:right="20" w:firstLine="1589"/>
        <w:spacing w:after="0" w:line="249" w:lineRule="auto"/>
        <w:tabs>
          <w:tab w:leader="none" w:pos="198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transactions with a Person that is an Affiliate of the Borrower (other than an Unrestricted Subsidiary) solely because the Borrower or any Restricted Subsidiary owns Equity Interests in such Person and (ii) transactions with any Person that is an Affiliate solely because a director or officer of such Person is a director or officer of the Borrower, any Restricted Subsidiary or any Parent Company;</w:t>
      </w:r>
    </w:p>
    <w:p>
      <w:pPr>
        <w:spacing w:after="0" w:line="3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630555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1080" w:top="1413" w:right="459" w:bottom="1440" w:gutter="0" w:footer="0" w:header="0"/>
        </w:sectPr>
      </w:pPr>
    </w:p>
    <w:bookmarkStart w:id="292" w:name="page293"/>
    <w:bookmarkEnd w:id="292"/>
    <w:p>
      <w:pPr>
        <w:ind w:left="760" w:right="360" w:firstLine="1589"/>
        <w:spacing w:after="0" w:line="295" w:lineRule="auto"/>
        <w:tabs>
          <w:tab w:leader="none" w:pos="2748"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pledges and other transfers of Equity Interests in Unrestricted Subsidiaries and (ii) any transactions with an Affiliate in which the consideration paid consists solely of Equity Interests of the Borrower or a Parent Company;</w:t>
      </w:r>
    </w:p>
    <w:p>
      <w:pPr>
        <w:spacing w:after="0" w:line="137" w:lineRule="exact"/>
        <w:rPr>
          <w:rFonts w:ascii="Times New Roman" w:cs="Times New Roman" w:eastAsia="Times New Roman" w:hAnsi="Times New Roman"/>
          <w:sz w:val="19"/>
          <w:szCs w:val="19"/>
          <w:color w:val="auto"/>
        </w:rPr>
      </w:pPr>
    </w:p>
    <w:p>
      <w:pPr>
        <w:ind w:left="2740" w:hanging="391"/>
        <w:spacing w:after="0"/>
        <w:tabs>
          <w:tab w:leader="none" w:pos="274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issuance or transfer of Equity Interests (other than Disqualified Stock) of the Borrower;</w:t>
      </w:r>
    </w:p>
    <w:p>
      <w:pPr>
        <w:spacing w:after="0" w:line="215" w:lineRule="exact"/>
        <w:rPr>
          <w:rFonts w:ascii="Times New Roman" w:cs="Times New Roman" w:eastAsia="Times New Roman" w:hAnsi="Times New Roman"/>
          <w:sz w:val="20"/>
          <w:szCs w:val="20"/>
          <w:color w:val="auto"/>
        </w:rPr>
      </w:pPr>
    </w:p>
    <w:p>
      <w:pPr>
        <w:ind w:left="760" w:right="780" w:firstLine="1589"/>
        <w:spacing w:after="0" w:line="269" w:lineRule="auto"/>
        <w:tabs>
          <w:tab w:leader="none" w:pos="2748"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Investor, Co-Investor or Parent Company in securities or Indebtedness of the Borrower or any Guarantor;</w:t>
      </w:r>
    </w:p>
    <w:p>
      <w:pPr>
        <w:spacing w:after="0" w:line="159" w:lineRule="exact"/>
        <w:rPr>
          <w:rFonts w:ascii="Times New Roman" w:cs="Times New Roman" w:eastAsia="Times New Roman" w:hAnsi="Times New Roman"/>
          <w:sz w:val="20"/>
          <w:szCs w:val="20"/>
          <w:color w:val="auto"/>
        </w:rPr>
      </w:pPr>
    </w:p>
    <w:p>
      <w:pPr>
        <w:jc w:val="both"/>
        <w:ind w:left="760" w:right="360" w:firstLine="1589"/>
        <w:spacing w:after="0" w:line="254" w:lineRule="auto"/>
        <w:tabs>
          <w:tab w:leader="none" w:pos="2748"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in respect of (i) the Obligations (or any Credit Agreement Refinancing Indebtedness) or (ii) other Indebtedness, Disqualified Stock or Preferred Stock of the Borrower and its Subsidiaries held by Affiliates; provided that such obligations were acquired by an Affiliate of the Borrower in compliance herewith;</w:t>
      </w:r>
    </w:p>
    <w:p>
      <w:pPr>
        <w:spacing w:after="0" w:line="174" w:lineRule="exact"/>
        <w:rPr>
          <w:sz w:val="20"/>
          <w:szCs w:val="20"/>
          <w:color w:val="auto"/>
        </w:rPr>
      </w:pPr>
    </w:p>
    <w:p>
      <w:pPr>
        <w:ind w:left="760" w:right="80" w:firstLine="1589"/>
        <w:spacing w:after="0" w:line="269" w:lineRule="auto"/>
        <w:tabs>
          <w:tab w:leader="none" w:pos="2748"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undertaken in the ordinary course of business or consistent with industry practice pursuant to membership in a purchasing consortium; and</w:t>
      </w:r>
    </w:p>
    <w:p>
      <w:pPr>
        <w:spacing w:after="0" w:line="159" w:lineRule="exact"/>
        <w:rPr>
          <w:rFonts w:ascii="Times New Roman" w:cs="Times New Roman" w:eastAsia="Times New Roman" w:hAnsi="Times New Roman"/>
          <w:sz w:val="20"/>
          <w:szCs w:val="20"/>
          <w:color w:val="auto"/>
        </w:rPr>
      </w:pPr>
    </w:p>
    <w:p>
      <w:pPr>
        <w:ind w:left="760" w:right="420" w:firstLine="1589"/>
        <w:spacing w:after="0" w:line="269" w:lineRule="auto"/>
        <w:tabs>
          <w:tab w:leader="none" w:pos="2748"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entry by the Borrower or any Restricted Subsidiary into a Services Agreement with any Person in connection with such Person becoming an Affiliated Practice.</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w:t>
      </w:r>
    </w:p>
    <w:p>
      <w:pPr>
        <w:spacing w:after="0" w:line="22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So long as the Termination Conditions are not satisfied:</w:t>
      </w:r>
    </w:p>
    <w:p>
      <w:pPr>
        <w:spacing w:after="0" w:line="216"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20"/>
          <w:szCs w:val="20"/>
          <w:color w:val="auto"/>
        </w:rPr>
        <w:t>SECTION 7.01 Liens. The Borrower shall not, nor shall the Borrower permit any Restricted Subsidiary to, directly or indirectly, create, incur or assume any Lien (except any Permitted Lien(s)) that secures obligations under any Indebtedness or any related guarantee of Indebtedness on any asset or property of the Borrower or any Restricted Subsidiary, or any income or profits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-328295</wp:posOffset>
            </wp:positionV>
            <wp:extent cx="100520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6">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154" w:lineRule="exact"/>
        <w:rPr>
          <w:sz w:val="20"/>
          <w:szCs w:val="20"/>
          <w:color w:val="auto"/>
        </w:rPr>
      </w:pPr>
    </w:p>
    <w:p>
      <w:pPr>
        <w:ind w:right="16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The expansion of Liens by virtue of accretion or amortization of original issue discount, the payment of dividends in the form of Indebtedness, and increases in the amount of Indebtedness outstanding solely as a result of fluctuations in the exchange rate of currencies will not be deemed to be an incurrence of Liens for purposes of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7.02</w:t>
      </w:r>
      <w:r>
        <w:rPr>
          <w:sz w:val="20"/>
          <w:szCs w:val="20"/>
          <w:color w:val="auto"/>
        </w:rPr>
        <w:tab/>
      </w:r>
      <w:r>
        <w:rPr>
          <w:rFonts w:ascii="Times New Roman" w:cs="Times New Roman" w:eastAsia="Times New Roman" w:hAnsi="Times New Roman"/>
          <w:sz w:val="20"/>
          <w:szCs w:val="20"/>
          <w:color w:val="auto"/>
        </w:rPr>
        <w:t>Indebtedness.</w:t>
      </w:r>
    </w:p>
    <w:p>
      <w:pPr>
        <w:spacing w:after="0" w:line="216" w:lineRule="exact"/>
        <w:rPr>
          <w:sz w:val="20"/>
          <w:szCs w:val="20"/>
          <w:color w:val="auto"/>
        </w:rPr>
      </w:pPr>
    </w:p>
    <w:p>
      <w:pPr>
        <w:ind w:left="1900" w:hanging="395"/>
        <w:spacing w:after="0"/>
        <w:tabs>
          <w:tab w:leader="none" w:pos="190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nor shall the Borrower permit any Restricted Subsidiary to, directly or indirectly:</w:t>
      </w:r>
    </w:p>
    <w:p>
      <w:pPr>
        <w:spacing w:after="0" w:line="215" w:lineRule="exact"/>
        <w:rPr>
          <w:rFonts w:ascii="Times New Roman" w:cs="Times New Roman" w:eastAsia="Times New Roman" w:hAnsi="Times New Roman"/>
          <w:sz w:val="20"/>
          <w:szCs w:val="20"/>
          <w:color w:val="auto"/>
        </w:rPr>
      </w:pPr>
    </w:p>
    <w:p>
      <w:pPr>
        <w:ind w:right="280" w:firstLine="1880"/>
        <w:spacing w:after="0" w:line="295" w:lineRule="auto"/>
        <w:tabs>
          <w:tab w:leader="none" w:pos="2268" w:val="left"/>
        </w:tabs>
        <w:numPr>
          <w:ilvl w:val="1"/>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create, incur, issue, assume, guarantee or otherwise become directly or indirectly liable, contingently or otherwise (collectively, “incur” and collectively, an “incurrence”) with respect to any Indebtedness (including Acquired Indebtedness), or</w:t>
      </w:r>
    </w:p>
    <w:p>
      <w:pPr>
        <w:spacing w:after="0" w:line="137" w:lineRule="exact"/>
        <w:rPr>
          <w:rFonts w:ascii="Times New Roman" w:cs="Times New Roman" w:eastAsia="Times New Roman" w:hAnsi="Times New Roman"/>
          <w:sz w:val="19"/>
          <w:szCs w:val="19"/>
          <w:color w:val="auto"/>
        </w:rPr>
      </w:pPr>
    </w:p>
    <w:p>
      <w:pPr>
        <w:ind w:left="2280" w:hanging="400"/>
        <w:spacing w:after="0"/>
        <w:tabs>
          <w:tab w:leader="none" w:pos="2280"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any shares of Disqualified Stock or permit any Restricted Subsidiary to issue any shares of Disqualified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or Preferred Stock;</w:t>
      </w:r>
    </w:p>
    <w:p>
      <w:pPr>
        <w:spacing w:after="0" w:line="190" w:lineRule="exact"/>
        <w:rPr>
          <w:sz w:val="20"/>
          <w:szCs w:val="20"/>
          <w:color w:val="auto"/>
        </w:rPr>
      </w:pPr>
    </w:p>
    <w:p>
      <w:pPr>
        <w:ind w:right="64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Borrower may incur Indebtedness (including Acquired Indebtedness) or issue shares of Disqualified Stock, and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Subsidiary may incur Indebtedness (including Acquired</w:t>
      </w: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93" w:name="page294"/>
    <w:bookmarkEnd w:id="293"/>
    <w:p>
      <w:pPr>
        <w:ind w:right="180"/>
        <w:spacing w:after="0" w:line="269" w:lineRule="auto"/>
        <w:rPr>
          <w:sz w:val="20"/>
          <w:szCs w:val="20"/>
          <w:color w:val="auto"/>
        </w:rPr>
      </w:pPr>
      <w:r>
        <w:rPr>
          <w:rFonts w:ascii="Times New Roman" w:cs="Times New Roman" w:eastAsia="Times New Roman" w:hAnsi="Times New Roman"/>
          <w:sz w:val="20"/>
          <w:szCs w:val="20"/>
          <w:color w:val="auto"/>
        </w:rPr>
        <w:t xml:space="preserve">Indebtedness), issue shares of Disqualified Stock and issue shares of Preferred Stock, in each case, if (any Indebtedness, Disqualified Stock or Preferred Stock incurred or issued pursuant to following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Permitted Ratio Debt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80" w:firstLine="1505"/>
        <w:spacing w:after="0" w:line="246" w:lineRule="auto"/>
        <w:tabs>
          <w:tab w:leader="none" w:pos="1893"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Indebtedness secured by Liens on the Collateral on a pari passu basis with the Liens on the Collateral securing the First Lien Obligations (without regard to control of remedies), the First Lien Net Leverage Ratio for the Test Period preceding the date on which such Indebtedness is incurred (without netting any cash received from the incurrence of such Indebtedness proposed to be incurred (other than with respect to any such cash proceeds of revolving indebtedness intended to be used for working capital)) would be no greater than 2.50 to 1.00;</w:t>
      </w:r>
    </w:p>
    <w:p>
      <w:pPr>
        <w:spacing w:after="0" w:line="184" w:lineRule="exact"/>
        <w:rPr>
          <w:rFonts w:ascii="Times New Roman" w:cs="Times New Roman" w:eastAsia="Times New Roman" w:hAnsi="Times New Roman"/>
          <w:sz w:val="20"/>
          <w:szCs w:val="20"/>
          <w:color w:val="auto"/>
        </w:rPr>
      </w:pPr>
    </w:p>
    <w:p>
      <w:pPr>
        <w:ind w:right="80" w:firstLine="1505"/>
        <w:spacing w:after="0" w:line="264" w:lineRule="auto"/>
        <w:tabs>
          <w:tab w:leader="none" w:pos="1893"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Indebtedness that is secured by Liens on the Collateral on a basis that is junior in priority to the Liens on the Collateral securing the First Lien Obligations (and, for the avoidance of doubt, that has not been incurred pursuant to </w:t>
      </w:r>
      <w:r>
        <w:rPr>
          <w:rFonts w:ascii="Times New Roman" w:cs="Times New Roman" w:eastAsia="Times New Roman" w:hAnsi="Times New Roman"/>
          <w:sz w:val="19"/>
          <w:szCs w:val="19"/>
          <w:u w:val="single" w:color="auto"/>
          <w:color w:val="auto"/>
        </w:rPr>
        <w:t>Section 7.02(1)</w:t>
      </w:r>
    </w:p>
    <w:p>
      <w:pPr>
        <w:ind w:right="6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the Secured Net Leverage Ratio for the Test Period preceding the date on which such Indebtedness is incurred (without netting any cash received from the incurrence of such Indebtedness proposed to be incurred (other than with respect to any such cash proceeds of revolving indebtedness intended to be used for working capital)) would be no greater than 3.00 to 1.00; or</w:t>
      </w:r>
    </w:p>
    <w:p>
      <w:pPr>
        <w:spacing w:after="0" w:line="186" w:lineRule="exact"/>
        <w:rPr>
          <w:rFonts w:ascii="Times New Roman" w:cs="Times New Roman" w:eastAsia="Times New Roman" w:hAnsi="Times New Roman"/>
          <w:sz w:val="19"/>
          <w:szCs w:val="19"/>
          <w:color w:val="auto"/>
        </w:rPr>
      </w:pPr>
    </w:p>
    <w:p>
      <w:pPr>
        <w:ind w:firstLine="1505"/>
        <w:spacing w:after="0" w:line="245" w:lineRule="auto"/>
        <w:tabs>
          <w:tab w:leader="none" w:pos="1893"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 Indebtedness that is secured by Liens on property that does not constitute Collateral or is not secured, or (ii) any unsecured Disqualified Stock or Preferred Stock, in each case, so long as, the Total Net Leverage Ratio for the Test Period preceding the date on which such Indebtedness is incurred or such Disqualified Stock or Preferred Stock is issued (without netting any cash received from the incurrence of such Indebtedness proposed to be incurred or such Disqualified Stock or Preferred Stock proposed to be issued (other than with respect to any such cash proceeds of revolving indebtedness intended to be used for working capital)) would be no greater than 3.50 to 1.00,</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 xml:space="preserve">in each case, determined on a pro forma basis;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(in each case of the following clauses (i) through (vii), other than in the case of Indebtedness that is assumed in connection with an acquisition or other Investment (or any other purchase of assets) but not created in contemplation thereof):</w:t>
      </w:r>
    </w:p>
    <w:p>
      <w:pPr>
        <w:spacing w:after="0" w:line="173" w:lineRule="exact"/>
        <w:rPr>
          <w:sz w:val="20"/>
          <w:szCs w:val="20"/>
          <w:color w:val="auto"/>
        </w:rPr>
      </w:pPr>
    </w:p>
    <w:p>
      <w:pPr>
        <w:ind w:right="180" w:firstLine="1505"/>
        <w:spacing w:after="0" w:line="249" w:lineRule="auto"/>
        <w:tabs>
          <w:tab w:leader="none" w:pos="1893"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Ratio Debt in the form of Indebtedness (x) shall not mature earlier than the Original Term Loan Maturity Date and (y) shall have a Weighted Average Life to Maturity not shorter than the remaining Weighted Average Life to Maturity of the Closing Date Term Loans outstanding on the date of incurrence of such Permitted Ratio Debt (it being understood that this clause (y) shall not apply with respect to the Permitted Ratio Debt in the form of revolving credit facilities);</w:t>
      </w:r>
    </w:p>
    <w:p>
      <w:pPr>
        <w:spacing w:after="0" w:line="179" w:lineRule="exact"/>
        <w:rPr>
          <w:rFonts w:ascii="Times New Roman" w:cs="Times New Roman" w:eastAsia="Times New Roman" w:hAnsi="Times New Roman"/>
          <w:sz w:val="20"/>
          <w:szCs w:val="20"/>
          <w:color w:val="auto"/>
        </w:rPr>
      </w:pPr>
    </w:p>
    <w:p>
      <w:pPr>
        <w:jc w:val="both"/>
        <w:ind w:right="300" w:firstLine="1505"/>
        <w:spacing w:after="0" w:line="274" w:lineRule="auto"/>
        <w:tabs>
          <w:tab w:leader="none" w:pos="1893" w:val="left"/>
        </w:tabs>
        <w:numPr>
          <w:ilvl w:val="0"/>
          <w:numId w:val="3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Restricted Subsidiary that does not constitute a Loan Party may incur Permitted Ratio Debt in the form of Indebtedness if, on a pro forma basis after giving effect thereto, the aggregate outstanding principal amount (in each case, other than Incremental Amounts) of such Permitted Ratio Debt incurred by Restricted Subsidiaries that are not Loan Parties, together with Permitted</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94" w:name="page295"/>
    <w:bookmarkEnd w:id="294"/>
    <w:p>
      <w:pPr>
        <w:ind w:right="360"/>
        <w:spacing w:after="0" w:line="269" w:lineRule="auto"/>
        <w:rPr>
          <w:sz w:val="20"/>
          <w:szCs w:val="20"/>
          <w:color w:val="auto"/>
        </w:rPr>
      </w:pPr>
      <w:r>
        <w:rPr>
          <w:rFonts w:ascii="Times New Roman" w:cs="Times New Roman" w:eastAsia="Times New Roman" w:hAnsi="Times New Roman"/>
          <w:sz w:val="20"/>
          <w:szCs w:val="20"/>
          <w:color w:val="auto"/>
        </w:rPr>
        <w:t>Incremental Equivalent Debt incurred by Restricted Subsidiaries that are not Loan Parties, would exceed the Shared Non-Guarantor Debt Cap; and</w:t>
      </w:r>
    </w:p>
    <w:p>
      <w:pPr>
        <w:spacing w:after="0" w:line="159" w:lineRule="exact"/>
        <w:rPr>
          <w:sz w:val="20"/>
          <w:szCs w:val="20"/>
          <w:color w:val="auto"/>
        </w:rPr>
      </w:pPr>
    </w:p>
    <w:p>
      <w:pPr>
        <w:ind w:left="1900" w:hanging="395"/>
        <w:spacing w:after="0"/>
        <w:tabs>
          <w:tab w:leader="none" w:pos="190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160" w:firstLine="1505"/>
        <w:spacing w:after="0" w:line="269" w:lineRule="auto"/>
        <w:tabs>
          <w:tab w:leader="none" w:pos="1893"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Ratio Debt in the form of Indebtedness that is subordinated in right of payment or security to, the Closing Date Term Loans shall not mature earlier than 91 days after the maturity date applicable to the Closing Date Term Loans,</w:t>
      </w:r>
    </w:p>
    <w:p>
      <w:pPr>
        <w:spacing w:after="0" w:line="159" w:lineRule="exact"/>
        <w:rPr>
          <w:rFonts w:ascii="Times New Roman" w:cs="Times New Roman" w:eastAsia="Times New Roman" w:hAnsi="Times New Roman"/>
          <w:sz w:val="20"/>
          <w:szCs w:val="20"/>
          <w:color w:val="auto"/>
        </w:rPr>
      </w:pPr>
    </w:p>
    <w:p>
      <w:pPr>
        <w:ind w:right="340" w:firstLine="1505"/>
        <w:spacing w:after="0" w:line="249" w:lineRule="auto"/>
        <w:tabs>
          <w:tab w:leader="none" w:pos="1893"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Ratio Debt that is secured by Collateral (x) on a pari passu basis with Liens securing any First Lien Obligations shall be subject to the Equal Priority Intercreditor Agreement or (y) on a junior basis with Liens securing any First Lien Obligations shall be subject to the Junior Priority Intercreditor Agreement, in each case, or such other customary intercreditor terms reasonably acceptable to the Administrative Agent and the Borrower, and</w:t>
      </w:r>
    </w:p>
    <w:p>
      <w:pPr>
        <w:spacing w:after="0" w:line="179" w:lineRule="exact"/>
        <w:rPr>
          <w:rFonts w:ascii="Times New Roman" w:cs="Times New Roman" w:eastAsia="Times New Roman" w:hAnsi="Times New Roman"/>
          <w:sz w:val="20"/>
          <w:szCs w:val="20"/>
          <w:color w:val="auto"/>
        </w:rPr>
      </w:pPr>
    </w:p>
    <w:p>
      <w:pPr>
        <w:ind w:firstLine="1505"/>
        <w:spacing w:after="0" w:line="254" w:lineRule="auto"/>
        <w:tabs>
          <w:tab w:leader="none" w:pos="1893"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Permitted Ratio Debt shall, if otherwise not consistent with the terms of the Closing Date Term Loans (or, in the case of Permitted Ratio Debt that consists of a revolving credit facility, the Closing Date Revolving Facility), shall either, at the option of the Borrower, (A) be reasonably satisfactory to the Required Lenders, (B) be not materially more restrictive to the Borrower (as determined by the Borrower in good faith), when taken as a whole, than the terms of the Closing Date Term Loans or the Closing Date Revolving Facility, as applicable, except, in each case under this clause (B), with respect to (I) covenants and other terms applicable to any period after the Latest Maturity Date of the Closing Date Term Loans or the Closing Date Revolving Facility, as applicable, in effect immediately prior to the incurrence of such Permitted Ratio Debt or (II) a Previously Absent Financial Maintenance Covenant (so long as, (i) to the extent that any such terms of such Indebtedness contain a Previously Absent Financial Maintenance Covenant that is in effect prior to the Latest Maturity Date of the Closing Date Revolving Facility, such Previously Absent Financial Maintenance Covenant shall be included for the benefit of the Closing Date Revolving Facility and (ii) to the extent that any such terms of any such Indebtedness contain a Previously Absent Financial Maintenance Covenant that is in effect prior to the applicable Latest Maturity Date of the Closing Date Term Loans, such Previously Absent Financial Maintenance Covenant shall be included for the benefit of the Closing Date Term Loans) or (C) contain such terms, provisions and documentation as are reasonably satisfactory to the Administrative Agent (provided that, at the Borrower’s election, to the extent any term or provision is added for the benefit of (i) the lenders of Permitted Ratio Debt, no consent shall be required from the Administrative Agent or any Lender to the extent that such term or provision is also added, or the features of such term or provision are provided, for the benefit of the Lenders of the Closing Date Term Loans or (ii) the lenders under Permitted Ratio Debt in the form of revolving credit facilities, no consent shall be required from the Administrative Agent or any Lender to the extent that such term or provision is also added, or the features of such term or provision are provided, for the benefit of the Lenders of the Closing Date Revolving Facility); and</w:t>
      </w:r>
    </w:p>
    <w:p>
      <w:pPr>
        <w:spacing w:after="0" w:line="185" w:lineRule="exact"/>
        <w:rPr>
          <w:rFonts w:ascii="Times New Roman" w:cs="Times New Roman" w:eastAsia="Times New Roman" w:hAnsi="Times New Roman"/>
          <w:sz w:val="19"/>
          <w:szCs w:val="19"/>
          <w:color w:val="auto"/>
        </w:rPr>
      </w:pPr>
    </w:p>
    <w:p>
      <w:pPr>
        <w:ind w:right="40" w:firstLine="1505"/>
        <w:spacing w:after="0" w:line="243" w:lineRule="auto"/>
        <w:tabs>
          <w:tab w:leader="none" w:pos="1893"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seek any Permitted Ratio Debt from then-existing Lenders, (other than Defaulting Lenders) prior to the time of incurrence such Permitted Ratio Debt from any other Person (it being understood that Borrower may seek such Permitted Ratio Debt from existing Lenders prior to seeking such Permitted Ratio Debt from other Persons), and such then-existing Lenders shall notify the Borrower and the Administrative Agent in writing of their participation in, and offered commitment with respect to, such Permitted Ratio Debt within five Business Days of the delivery by the Borrower to the Administrative Agent of such notice (it being understood that (A) if any existing Lender fails to so notify the Borrower and the Administrative Agent of its participation in (or not provide) any such Permitted Ratio Debt within five Business Days of such notice, it shall be deemed to have declined providing or otherwise participating in such Permitted Ratio Debt, (B) the Borrower shall not be required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5" w:name="page296"/>
    <w:bookmarkEnd w:id="295"/>
    <w:p>
      <w:pPr>
        <w:spacing w:after="0" w:line="249" w:lineRule="auto"/>
        <w:rPr>
          <w:sz w:val="20"/>
          <w:szCs w:val="20"/>
          <w:color w:val="auto"/>
        </w:rPr>
      </w:pPr>
      <w:r>
        <w:rPr>
          <w:rFonts w:ascii="Times New Roman" w:cs="Times New Roman" w:eastAsia="Times New Roman" w:hAnsi="Times New Roman"/>
          <w:sz w:val="20"/>
          <w:szCs w:val="20"/>
          <w:color w:val="auto"/>
        </w:rPr>
        <w:t>to accept any Permitted Ratio Debt from existing Lenders pursuant to this clause (vii) on any terms and conditions less favorable to the Borrower or its Restricted Subsidiaries than the terms and conditions of any Permitted Ratio Debt to be provided by any other Person and (C) the Borrower shall not be required to accept any Permitted Ratio Debt from existing Lenders pursuant to this clause (vii) to the extent existing Lenders in the aggregate do not provide Permitted Ratio Debt in the amount requested by the Borrower pursuant to such notice);</w:t>
      </w:r>
    </w:p>
    <w:p>
      <w:pPr>
        <w:spacing w:after="0" w:line="17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Permitted Ratio Debt may be incurred in the form of a bridge or other interim credit facility intended to be refinanced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replaced with long term indebtedness (so long as such credit facility includes customary “rollover provisions” that satisfy the requirements of clause (i) and (iv) above following such rollover), in which case, on or prior to the first anniversary of the incurrence of such “bridge” or other credit facility, clause (i) and (iv) above shall not prohibit the inclusion of customary terms for “bridge” facilities, including customary mandatory prepayment, repurchase or redemption provisions.</w:t>
      </w:r>
    </w:p>
    <w:p>
      <w:pPr>
        <w:spacing w:after="0" w:line="184" w:lineRule="exact"/>
        <w:rPr>
          <w:sz w:val="20"/>
          <w:szCs w:val="20"/>
          <w:color w:val="auto"/>
        </w:rPr>
      </w:pPr>
    </w:p>
    <w:p>
      <w:pPr>
        <w:ind w:left="1900" w:hanging="395"/>
        <w:spacing w:after="0"/>
        <w:tabs>
          <w:tab w:leader="none" w:pos="190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Section 7.02(1)</w:t>
      </w:r>
      <w:r>
        <w:rPr>
          <w:rFonts w:ascii="Times New Roman" w:cs="Times New Roman" w:eastAsia="Times New Roman" w:hAnsi="Times New Roman"/>
          <w:sz w:val="20"/>
          <w:szCs w:val="20"/>
          <w:color w:val="auto"/>
        </w:rPr>
        <w:t xml:space="preserve"> will not apply to:</w:t>
      </w:r>
    </w:p>
    <w:p>
      <w:pPr>
        <w:spacing w:after="0" w:line="215" w:lineRule="exact"/>
        <w:rPr>
          <w:rFonts w:ascii="Times New Roman" w:cs="Times New Roman" w:eastAsia="Times New Roman" w:hAnsi="Times New Roman"/>
          <w:sz w:val="20"/>
          <w:szCs w:val="20"/>
          <w:color w:val="auto"/>
        </w:rPr>
      </w:pPr>
    </w:p>
    <w:p>
      <w:pPr>
        <w:ind w:right="340" w:firstLine="1880"/>
        <w:spacing w:after="0" w:line="269" w:lineRule="auto"/>
        <w:tabs>
          <w:tab w:leader="none" w:pos="2268"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 (including Incremental Loans, Other Loans, Extended Term Loans, Loans made pursuant to Extended Revolving Commitments and Replacement Loans);</w:t>
      </w:r>
    </w:p>
    <w:p>
      <w:pPr>
        <w:spacing w:after="0" w:line="159" w:lineRule="exact"/>
        <w:rPr>
          <w:rFonts w:ascii="Times New Roman" w:cs="Times New Roman" w:eastAsia="Times New Roman" w:hAnsi="Times New Roman"/>
          <w:sz w:val="20"/>
          <w:szCs w:val="20"/>
          <w:color w:val="auto"/>
        </w:rPr>
      </w:pPr>
    </w:p>
    <w:p>
      <w:pPr>
        <w:jc w:val="both"/>
        <w:ind w:firstLine="1880"/>
        <w:spacing w:after="0" w:line="249" w:lineRule="auto"/>
        <w:tabs>
          <w:tab w:leader="none" w:pos="2268"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commercial letters of credit (in each case, for the avoidance of doubt, to the extent constituting Indebtedness) not issued under the Revolving Facility (and reimbursement and backstop obligations in connection therewith) in an aggregate amount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not to exceed the available L/C Sublimit at the time incurred (provided that outstanding commercial letters of credit incurred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deemed to reduce the L/C Sublimit by a corresponding amount);</w:t>
      </w:r>
    </w:p>
    <w:p>
      <w:pPr>
        <w:spacing w:after="0" w:line="179" w:lineRule="exact"/>
        <w:rPr>
          <w:rFonts w:ascii="Times New Roman" w:cs="Times New Roman" w:eastAsia="Times New Roman" w:hAnsi="Times New Roman"/>
          <w:sz w:val="20"/>
          <w:szCs w:val="20"/>
          <w:color w:val="auto"/>
        </w:rPr>
      </w:pPr>
    </w:p>
    <w:p>
      <w:pPr>
        <w:ind w:right="140" w:firstLine="1880"/>
        <w:spacing w:after="0" w:line="254" w:lineRule="auto"/>
        <w:tabs>
          <w:tab w:leader="none" w:pos="2268"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of Indebtedness by the Borrower and any Restricted Subsidiary in existence on the Closing Date (excluding Indebtedness described in the preceding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provided that any such item of Indebtedness with an aggregate outstanding principal amount on the Closing Date in excess of $7,500,000 shall be set forth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60" w:firstLine="1880"/>
        <w:spacing w:after="0" w:line="258" w:lineRule="auto"/>
        <w:tabs>
          <w:tab w:leader="none" w:pos="2268"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incurrence of Attributable Indebtedness and Indebtedness (including Capitalized Lease Obligations and Purchase Money Obligations) and Disqualified Stock incurred or issued by the Borrower or any Restricted Subsidiary and Preferred Stock issued by any Restricted Subsidiary, to finance the purchase, lease, expansion, construction, installation, replacement, repair or improvement of property (real or personal), equipment or other assets, including assets that are used or useful in a Similar Business, whether through the direct purchase of assets or the Capital Stock of any Person owning such assets in an aggregate principal amount, together with any Refinancing Indebtedness in respect thereof (excluding any Incremental Amounts) and all other Indebtedness, Disqualified Stock or Preferred Stock incurred or issued and outstanding under this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at such time, not to exceed the greater of (I) $27,000,000 and (II) 25% of Consolidated EBITDA of the Borrower for the most recently ended Test Period (calculated on a pro forma basis);</w:t>
      </w:r>
    </w:p>
    <w:p>
      <w:pPr>
        <w:spacing w:after="0" w:line="173" w:lineRule="exact"/>
        <w:rPr>
          <w:rFonts w:ascii="Times New Roman" w:cs="Times New Roman" w:eastAsia="Times New Roman" w:hAnsi="Times New Roman"/>
          <w:sz w:val="19"/>
          <w:szCs w:val="19"/>
          <w:color w:val="auto"/>
        </w:rPr>
      </w:pPr>
    </w:p>
    <w:p>
      <w:pPr>
        <w:ind w:right="180" w:firstLine="1880"/>
        <w:spacing w:after="0" w:line="260" w:lineRule="auto"/>
        <w:tabs>
          <w:tab w:leader="none" w:pos="2268"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incurred by the Borrower or any Restricted Subsidiary (i) constituting reimbursement obligations with respect to letters of credit, bank guarantees, banker’s acceptances, warehouse receipts, or similar instruments issued or entered into, or relating to obligations or liabilities incurred, in the ordinary course of business or consistent with industry practice, including in respect of workers’ compensation claims, performance, completion or surety bonds, health, disability or other employee benefits or property, casualty or liability insurance or self-insurance, unemployment insurance or other social security legislation or other Indebtedness with respect to reimbursement-type obligations regarding workers’ compensation claims, performance, completion or surety bonds, health,</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96" w:name="page297"/>
    <w:bookmarkEnd w:id="296"/>
    <w:p>
      <w:pPr>
        <w:ind w:right="480"/>
        <w:spacing w:after="0" w:line="254" w:lineRule="auto"/>
        <w:rPr>
          <w:sz w:val="20"/>
          <w:szCs w:val="20"/>
          <w:color w:val="auto"/>
        </w:rPr>
      </w:pPr>
      <w:r>
        <w:rPr>
          <w:rFonts w:ascii="Times New Roman" w:cs="Times New Roman" w:eastAsia="Times New Roman" w:hAnsi="Times New Roman"/>
          <w:sz w:val="20"/>
          <w:szCs w:val="20"/>
          <w:color w:val="auto"/>
        </w:rPr>
        <w:t>disability or other employee benefits or property, casualty or liability insurance or self-insurance or (ii) as an account party in respect of letters of credit, bank guarantees or similar instruments in favor of suppliers, trade creditors or other Persons issued or incurred in the ordinary course of business or consistent with industry practice;</w:t>
      </w:r>
    </w:p>
    <w:p>
      <w:pPr>
        <w:spacing w:after="0" w:line="174" w:lineRule="exact"/>
        <w:rPr>
          <w:sz w:val="20"/>
          <w:szCs w:val="20"/>
          <w:color w:val="auto"/>
        </w:rPr>
      </w:pPr>
    </w:p>
    <w:p>
      <w:pPr>
        <w:ind w:right="40" w:firstLine="1880"/>
        <w:spacing w:after="0" w:line="246" w:lineRule="auto"/>
        <w:tabs>
          <w:tab w:leader="none" w:pos="2268"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unsecured Indebtedness arising from agreements of the Borrower or any Restricted Subsidiary providing for indemnification, adjustment of purchase price, earnouts, other contingent consideration obligations and other deferred purchase price or similar obligations, in each case, incurred or assumed in connection with the acquisition or disposition of any business, assets or a Subsidiary, other than guarantees of Indebtedness incurred by any Person acquiring all or any portion of such business, assets or a Subsidiary for the purpose of financing such acquisition;</w:t>
      </w:r>
    </w:p>
    <w:p>
      <w:pPr>
        <w:spacing w:after="0" w:line="184" w:lineRule="exact"/>
        <w:rPr>
          <w:rFonts w:ascii="Times New Roman" w:cs="Times New Roman" w:eastAsia="Times New Roman" w:hAnsi="Times New Roman"/>
          <w:sz w:val="20"/>
          <w:szCs w:val="20"/>
          <w:color w:val="auto"/>
        </w:rPr>
      </w:pPr>
    </w:p>
    <w:p>
      <w:pPr>
        <w:ind w:right="160" w:firstLine="1880"/>
        <w:spacing w:after="0" w:line="243" w:lineRule="auto"/>
        <w:tabs>
          <w:tab w:leader="none" w:pos="2268"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of Indebtedness by the Borrower and owing to a Restricted Subsidiary or the issuance of Disqualified Stock of the Borrower to a Restricted Subsidiary (or to any Parent Company which is substantially contemporaneously transferred to any Restricted Subsidiary); provided that any such Indebtedness for borrowed money owing to a Restricted Subsidiary that is not a Guarantor is expressly subordinated in right of payment to the Loans to the extent permitted by applicable law;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subsequent issuance or transfer of any Capital Stock or any other event that results in any such Restricted Subsidiary ceasing to be a Restricted Subsidiary or any other subsequent transfer of any such Indebtedness or Disqualified Stock (except to the Borrower or another Restricted Subsidiary or any pledge of such Indebtedness or Disqualified Stock constituting a Permitted Lien) will be deemed, in each case, to be an incurrence of such Indebtedness (to the extent such Indebtedness is then outstanding) or issuance of such Disqualified Stock (to the extent such Disqualified Stock is then outstanding) not permitted by this clause (g);</w:t>
      </w:r>
    </w:p>
    <w:p>
      <w:pPr>
        <w:spacing w:after="0" w:line="185" w:lineRule="exact"/>
        <w:rPr>
          <w:rFonts w:ascii="Times New Roman" w:cs="Times New Roman" w:eastAsia="Times New Roman" w:hAnsi="Times New Roman"/>
          <w:sz w:val="20"/>
          <w:szCs w:val="20"/>
          <w:color w:val="auto"/>
        </w:rPr>
      </w:pPr>
    </w:p>
    <w:p>
      <w:pPr>
        <w:ind w:right="60" w:firstLine="1880"/>
        <w:spacing w:after="0" w:line="243" w:lineRule="auto"/>
        <w:tabs>
          <w:tab w:leader="none" w:pos="2268"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of Indebtedness of a Restricted Subsidiary owing to the Borrower or another Restricted Subsidiary (or to any Parent Company which is substantially contemporaneously transferred to the Borrower or any Restricted Subsidiary) to the extent not prohibited by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Indebtedness for borrowed money incurred by a Guarantor and owing to a Restricted Subsidiary that is not a Guarantor is expressly subordinated in right of payment to the Guaranty of the Loans of such Guarantor to the extent permitted by applicable law;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subsequent issuance or transfer of any Capital Stock or any other event which results in any such Restricted Subsidiary ceasing to be a Restricted Subsidiary or any such subsequent transfer of any such Indebtedness (except to the Borrower or a Restricted Subsidiary or any pledge of such Indebtedness constituting a Permitted Lien) will be deemed, in each case, to be an incurrence of such Indebtedness (to the extent such Indebtedness is then outstanding) not permitted by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firstLine="1880"/>
        <w:spacing w:after="0" w:line="259" w:lineRule="auto"/>
        <w:tabs>
          <w:tab w:leader="none" w:pos="2268"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issuance of shares of Preferred Stock or Disqualified Stock of a Restricted Subsidiary to the Borrower or a Restricted Subsidiary (or to any Parent Company which is substantially contemporaneously transferred to the Borrower or any Restricted Subsidiary); provided that any subsequent issuance or transfer of any Capital Stock or any other event that results in any such Restricted Subsidiary that holds such Preferred Stock or Disqualified Stock ceasing to be a Restricted Subsidiary or any other subsequent transfer of any such shares of Preferred Stock or Disqualified Stock (except to the Borrower or another Restricted Subsidiary or any pledge of such Preferred Stock or Disqualified Stock constituting a Permitted Lien) will be deemed, in each case, to be an issuance of such shares of Preferred Stock or Disqualified Stock (to the extent such Preferred Stock or Disqualified Stock is then outstanding) not permitted by this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ind w:left="2280" w:hanging="400"/>
        <w:spacing w:after="0"/>
        <w:tabs>
          <w:tab w:leader="none" w:pos="228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Hedging Obligations (excluding Hedging Obligations entered into for speculative purposes);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7" w:name="page298"/>
    <w:bookmarkEnd w:id="297"/>
    <w:p>
      <w:pPr>
        <w:ind w:right="160" w:firstLine="1880"/>
        <w:spacing w:after="0" w:line="246" w:lineRule="auto"/>
        <w:tabs>
          <w:tab w:leader="none" w:pos="2268" w:val="left"/>
        </w:tabs>
        <w:numPr>
          <w:ilvl w:val="2"/>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obligations in respect of self-insurance and obligations in respect of performance, bid, appeal and surety bonds and performance, banker’s acceptance facilities and completion guarantees and similar obligations provided by the Borrower or any Restricted Subsidiary or obligations in respect of letters of credit, bank guarantees or similar instruments related thereto, in each case in the ordinary course of business or consistent with industry practice, including those incurred to secure health, safety and environmental obligations;</w:t>
      </w:r>
    </w:p>
    <w:p>
      <w:pPr>
        <w:spacing w:after="0" w:line="184"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2"/>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w:t>
      </w:r>
    </w:p>
    <w:p>
      <w:pPr>
        <w:spacing w:after="0" w:line="215" w:lineRule="exact"/>
        <w:rPr>
          <w:rFonts w:ascii="Times New Roman" w:cs="Times New Roman" w:eastAsia="Times New Roman" w:hAnsi="Times New Roman"/>
          <w:sz w:val="20"/>
          <w:szCs w:val="20"/>
          <w:color w:val="auto"/>
        </w:rPr>
      </w:pPr>
    </w:p>
    <w:p>
      <w:pPr>
        <w:ind w:right="80" w:firstLine="1505"/>
        <w:spacing w:after="0" w:line="242" w:lineRule="auto"/>
        <w:tabs>
          <w:tab w:leader="none" w:pos="1893" w:val="left"/>
        </w:tabs>
        <w:numPr>
          <w:ilvl w:val="1"/>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or issuance of Disqualified Stock of the Borrower and the incurrence or issuance of Indebtedness, Disqualified Stock or Preferred Stock of any Restricted Subsidiary in an aggregate principal amount or liquidation preference up to 100.0% of the net cash proceeds, the fair market value of marketable securities or the fair market value of Qualified Proceeds received by the Borrower since the Closing Date from the issue or sale of Equity Interests of the Borrower or contributions to the capital of the Borrower, including through consolidation, amalgamation or merger (in each case, other than proceeds of any Excluded Contribution, Disqualified Stock or any exercise of the cure right set forth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and other than proceeds received from the Borrower or a Restricted Subsidiary) as determined in accordance with </w:t>
      </w:r>
      <w:r>
        <w:rPr>
          <w:rFonts w:ascii="Times New Roman" w:cs="Times New Roman" w:eastAsia="Times New Roman" w:hAnsi="Times New Roman"/>
          <w:sz w:val="20"/>
          <w:szCs w:val="20"/>
          <w:u w:val="single" w:color="auto"/>
          <w:color w:val="auto"/>
        </w:rPr>
        <w:t>clauses (b)(ii)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to the extent such net cash proceeds or cash or other property have not been applied pursuant to such clauses to make Restricted Payments pursuant to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or to make Permitted Investments (other than Permitted Investments specified in clause (1), (2) or (3) of the definition thereof) or to incur Indebtedness or issue Disqualified Stock or Preferred Stock pursuant to </w:t>
      </w:r>
      <w:r>
        <w:rPr>
          <w:rFonts w:ascii="Times New Roman" w:cs="Times New Roman" w:eastAsia="Times New Roman" w:hAnsi="Times New Roman"/>
          <w:sz w:val="20"/>
          <w:szCs w:val="20"/>
          <w:u w:val="single" w:color="auto"/>
          <w:color w:val="auto"/>
        </w:rPr>
        <w:t>Section 7.02(2)(gg)</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ind w:right="40" w:firstLine="1505"/>
        <w:spacing w:after="0" w:line="253" w:lineRule="auto"/>
        <w:tabs>
          <w:tab w:leader="none" w:pos="1893" w:val="left"/>
        </w:tabs>
        <w:numPr>
          <w:ilvl w:val="1"/>
          <w:numId w:val="3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or issuance of Disqualified Stock of the Borrower and the incurrence or issuance of Indebtedness, Disqualified Stock or Preferred Stock of any Restricted Subsidiary in an aggregate principal amount or liquidation preference that, when aggregated with the principal amount and liquidation preference of all other Indebtedness, Disqualified Stock and Preferred Stock then outstanding and incurred or issued, as applicable, pursuant to this </w:t>
      </w:r>
      <w:r>
        <w:rPr>
          <w:rFonts w:ascii="Times New Roman" w:cs="Times New Roman" w:eastAsia="Times New Roman" w:hAnsi="Times New Roman"/>
          <w:sz w:val="19"/>
          <w:szCs w:val="19"/>
          <w:u w:val="single" w:color="auto"/>
          <w:color w:val="auto"/>
        </w:rPr>
        <w:t>clause (l)(ii)</w:t>
      </w:r>
      <w:r>
        <w:rPr>
          <w:rFonts w:ascii="Times New Roman" w:cs="Times New Roman" w:eastAsia="Times New Roman" w:hAnsi="Times New Roman"/>
          <w:sz w:val="19"/>
          <w:szCs w:val="19"/>
          <w:color w:val="auto"/>
        </w:rPr>
        <w:t xml:space="preserve">, together with any Refinancing Indebtedness in respect thereof (excluding any Incremental Amounts), does not exceed (as of the date such Indebtedness, Disqualified Stock or Preferred Stock is issued, incurred or otherwise obtained) (I) the greater of (A) $27,000,000 and (B) 25% of Consolidated EBITDA of the Borrower for the most recently ended Test Period (calculated on a pro forma basis)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without duplication,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in the event of any extension, replacement, refinancing, renewal or defeasance of any such Indebtedness, Disqualified Stock or Preferred Stock, an amount equal to (A) any accrued and unpaid interest on the Indebtedness, any accrued and unpaid dividends on the Preferred Stock, and any accrued and unpaid dividends on the Disqualified Stock being so refinanced, extended, replaced, refunded, renewed or defeased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amount of any tender premium or penalty or premium required to be paid under the terms of the instrument or documents governing such Indebtedness, Disqualified Stock or Preferred Stock and any defeasance costs and any fees and expenses (including original issue discount, upfront fees, underwriting, arrangement and similar fees) incurred in connection with the issuance of such new Indebtedness, Disqualified Stock or Preferred Stock or the extension, replacement, refunding, refinancing, renewal or defeasance of such Indebtedness, Disqualified Stock or Preferred Stock, </w:t>
      </w:r>
      <w:r>
        <w:rPr>
          <w:rFonts w:ascii="Times New Roman" w:cs="Times New Roman" w:eastAsia="Times New Roman" w:hAnsi="Times New Roman"/>
          <w:sz w:val="19"/>
          <w:szCs w:val="19"/>
          <w:i w:val="1"/>
          <w:iCs w:val="1"/>
          <w:color w:val="auto"/>
        </w:rPr>
        <w:t>minus</w:t>
      </w:r>
    </w:p>
    <w:p>
      <w:pPr>
        <w:spacing w:after="0" w:line="10"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General Debt Basket Reallocated Amount;</w:t>
      </w:r>
    </w:p>
    <w:p>
      <w:pPr>
        <w:spacing w:after="0" w:line="193" w:lineRule="exact"/>
        <w:rPr>
          <w:rFonts w:ascii="Times New Roman" w:cs="Times New Roman" w:eastAsia="Times New Roman" w:hAnsi="Times New Roman"/>
          <w:sz w:val="20"/>
          <w:szCs w:val="20"/>
          <w:color w:val="auto"/>
        </w:rPr>
      </w:pPr>
    </w:p>
    <w:p>
      <w:pPr>
        <w:ind w:firstLine="1880"/>
        <w:spacing w:after="0" w:line="260" w:lineRule="auto"/>
        <w:tabs>
          <w:tab w:leader="none" w:pos="2268" w:val="left"/>
        </w:tabs>
        <w:numPr>
          <w:ilvl w:val="2"/>
          <w:numId w:val="3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incurrence or issuance by the Borrower of Refinancing Indebtedness or the incurrence or issuance by a Restricted Subsidiary of Refinancing Indebtedness that serves to Refinance any Indebtedness (including any Designated Revolving Commitments) permitted under </w:t>
      </w:r>
      <w:r>
        <w:rPr>
          <w:rFonts w:ascii="Times New Roman" w:cs="Times New Roman" w:eastAsia="Times New Roman" w:hAnsi="Times New Roman"/>
          <w:sz w:val="19"/>
          <w:szCs w:val="19"/>
          <w:u w:val="single" w:color="auto"/>
          <w:color w:val="auto"/>
        </w:rPr>
        <w:t>Section 7.02(1)</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u w:val="single" w:color="auto"/>
          <w:color w:val="auto"/>
        </w:rPr>
        <w:t>Sections 7.02(2)(c)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(l)</w:t>
      </w:r>
      <w:r>
        <w:rPr>
          <w:rFonts w:ascii="Times New Roman" w:cs="Times New Roman" w:eastAsia="Times New Roman" w:hAnsi="Times New Roman"/>
          <w:sz w:val="19"/>
          <w:szCs w:val="19"/>
          <w:color w:val="auto"/>
        </w:rPr>
        <w:t xml:space="preserve"> above, this </w:t>
      </w:r>
      <w:r>
        <w:rPr>
          <w:rFonts w:ascii="Times New Roman" w:cs="Times New Roman" w:eastAsia="Times New Roman" w:hAnsi="Times New Roman"/>
          <w:sz w:val="19"/>
          <w:szCs w:val="19"/>
          <w:u w:val="single" w:color="auto"/>
          <w:color w:val="auto"/>
        </w:rPr>
        <w:t>Section 7.02(2)(m)</w:t>
      </w:r>
      <w:r>
        <w:rPr>
          <w:rFonts w:ascii="Times New Roman" w:cs="Times New Roman" w:eastAsia="Times New Roman" w:hAnsi="Times New Roman"/>
          <w:sz w:val="19"/>
          <w:szCs w:val="19"/>
          <w:color w:val="auto"/>
        </w:rPr>
        <w:t xml:space="preserve"> and Sections </w:t>
      </w:r>
      <w:r>
        <w:rPr>
          <w:rFonts w:ascii="Times New Roman" w:cs="Times New Roman" w:eastAsia="Times New Roman" w:hAnsi="Times New Roman"/>
          <w:sz w:val="19"/>
          <w:szCs w:val="19"/>
          <w:u w:val="single" w:color="auto"/>
          <w:color w:val="auto"/>
        </w:rPr>
        <w:t>7.02(2)(n)</w:t>
      </w:r>
      <w:r>
        <w:rPr>
          <w:rFonts w:ascii="Times New Roman" w:cs="Times New Roman" w:eastAsia="Times New Roman" w:hAnsi="Times New Roman"/>
          <w:sz w:val="19"/>
          <w:szCs w:val="19"/>
          <w:color w:val="auto"/>
        </w:rPr>
        <w:t>,</w:t>
      </w:r>
    </w:p>
    <w:p>
      <w:pPr>
        <w:ind w:right="38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(dd)(ii)</w:t>
      </w:r>
      <w:r>
        <w:rPr>
          <w:rFonts w:ascii="Times New Roman" w:cs="Times New Roman" w:eastAsia="Times New Roman" w:hAnsi="Times New Roman"/>
          <w:sz w:val="20"/>
          <w:szCs w:val="20"/>
          <w:color w:val="auto"/>
        </w:rPr>
        <w:t xml:space="preserve"> (so long as such Refinancing Indebtedness also complies with the requirements set forth in clauses (1), (3), (4) and (7) of the definition of Permitted Incremental Equivalent Debt as if such Refinancing</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8" w:name="page299"/>
    <w:bookmarkEnd w:id="298"/>
    <w:p>
      <w:pPr>
        <w:ind w:right="620"/>
        <w:spacing w:after="0" w:line="269" w:lineRule="auto"/>
        <w:rPr>
          <w:sz w:val="20"/>
          <w:szCs w:val="20"/>
          <w:color w:val="auto"/>
        </w:rPr>
      </w:pPr>
      <w:r>
        <w:rPr>
          <w:rFonts w:ascii="Times New Roman" w:cs="Times New Roman" w:eastAsia="Times New Roman" w:hAnsi="Times New Roman"/>
          <w:sz w:val="20"/>
          <w:szCs w:val="20"/>
          <w:color w:val="auto"/>
        </w:rPr>
        <w:t xml:space="preserve">Indebtedness were being incurred as Permitted Incremental Equivalent Debt), </w:t>
      </w:r>
      <w:r>
        <w:rPr>
          <w:rFonts w:ascii="Times New Roman" w:cs="Times New Roman" w:eastAsia="Times New Roman" w:hAnsi="Times New Roman"/>
          <w:sz w:val="20"/>
          <w:szCs w:val="20"/>
          <w:u w:val="single" w:color="auto"/>
          <w:color w:val="auto"/>
        </w:rPr>
        <w:t>(ee)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(gg)</w:t>
      </w:r>
      <w:r>
        <w:rPr>
          <w:rFonts w:ascii="Times New Roman" w:cs="Times New Roman" w:eastAsia="Times New Roman" w:hAnsi="Times New Roman"/>
          <w:sz w:val="20"/>
          <w:szCs w:val="20"/>
          <w:color w:val="auto"/>
        </w:rPr>
        <w:t xml:space="preserve"> below, or any successive Refinancing Indebtedness with respect to any of the foregoing;</w:t>
      </w:r>
    </w:p>
    <w:p>
      <w:pPr>
        <w:spacing w:after="0" w:line="159" w:lineRule="exact"/>
        <w:rPr>
          <w:sz w:val="20"/>
          <w:szCs w:val="20"/>
          <w:color w:val="auto"/>
        </w:rPr>
      </w:pPr>
    </w:p>
    <w:p>
      <w:pPr>
        <w:ind w:firstLine="1880"/>
        <w:spacing w:after="0" w:line="241" w:lineRule="auto"/>
        <w:tabs>
          <w:tab w:leader="none" w:pos="226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or issuance of (I) Indebtedness or Disqualified Stock of the Borrower or Indebtedness, Disqualified Stock or Preferred Stock of a Restricted Subsidiary, incurred or issued to finance an acquisition or investment (or other purchase of assets) or (II) Indebtedness, Disqualified Stock or Preferred Stock (A) of Persons that are acquired by the Borrower or any Restricted Subsidiary or merged into, amalgamated or consolidated with the Borrower or a Restricted Subsidiary in accordance with the terms of this Agreement or (B) that is assumed by the Borrower or any Restricted Subsidiary in connection with such acquisition or investment (or other purchase of assets) (and not, for the avoidance of doubt, created in contemplation of the applicable investment or acquisition), in each case, in an aggregate outstanding principal amount or liquidation preference, together with any Refinancing Indebtedness in respect of any of the foregoing (excluding any Incremental Amounts) not to exceed the greater of (i) $32,500,000 and (ii) 30% of Consolidated EBITDA of the Borrower for the most recently ended Test Period (calculated on a pro forma basis) (“</w:t>
      </w:r>
      <w:r>
        <w:rPr>
          <w:rFonts w:ascii="Times New Roman" w:cs="Times New Roman" w:eastAsia="Times New Roman" w:hAnsi="Times New Roman"/>
          <w:sz w:val="20"/>
          <w:szCs w:val="20"/>
          <w:b w:val="1"/>
          <w:bCs w:val="1"/>
          <w:color w:val="auto"/>
        </w:rPr>
        <w:t>Permitted Acquisition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Permitted Acquisition Debt incurred or issued pursuant to </w:t>
      </w:r>
      <w:r>
        <w:rPr>
          <w:rFonts w:ascii="Times New Roman" w:cs="Times New Roman" w:eastAsia="Times New Roman" w:hAnsi="Times New Roman"/>
          <w:sz w:val="20"/>
          <w:szCs w:val="20"/>
          <w:u w:val="single" w:color="auto"/>
          <w:color w:val="auto"/>
        </w:rPr>
        <w:t>clause (n)(I)</w:t>
      </w:r>
      <w:r>
        <w:rPr>
          <w:rFonts w:ascii="Times New Roman" w:cs="Times New Roman" w:eastAsia="Times New Roman" w:hAnsi="Times New Roman"/>
          <w:sz w:val="20"/>
          <w:szCs w:val="20"/>
          <w:color w:val="auto"/>
        </w:rPr>
        <w:t>, (i) shall not mature earlier than the Original Term Loan Maturity Date and (ii) shall have a Weighted Average Life to Maturity not shorter than the remaining Weighted Average Life to Maturity of the Closing Date Term Loans on the date of incurrence of such Indebtedness (it being understood that this clause (ii) shall not apply with respect to the Permitted Acquisition Debt in the form of revolving credit facilities);</w:t>
      </w:r>
    </w:p>
    <w:p>
      <w:pPr>
        <w:spacing w:after="0" w:line="197" w:lineRule="exact"/>
        <w:rPr>
          <w:rFonts w:ascii="Times New Roman" w:cs="Times New Roman" w:eastAsia="Times New Roman" w:hAnsi="Times New Roman"/>
          <w:sz w:val="20"/>
          <w:szCs w:val="20"/>
          <w:color w:val="auto"/>
        </w:rPr>
      </w:pPr>
    </w:p>
    <w:p>
      <w:pPr>
        <w:ind w:right="40" w:firstLine="1880"/>
        <w:spacing w:after="0" w:line="269" w:lineRule="auto"/>
        <w:tabs>
          <w:tab w:leader="none" w:pos="226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Indebtedness arising from the honoring by a bank or other financial institution of a check, draft or similar instrument drawn against insufficient funds in the ordinary course of business or consistent with industry practice;</w:t>
      </w:r>
    </w:p>
    <w:p>
      <w:pPr>
        <w:spacing w:after="0" w:line="159" w:lineRule="exact"/>
        <w:rPr>
          <w:rFonts w:ascii="Times New Roman" w:cs="Times New Roman" w:eastAsia="Times New Roman" w:hAnsi="Times New Roman"/>
          <w:sz w:val="20"/>
          <w:szCs w:val="20"/>
          <w:color w:val="auto"/>
        </w:rPr>
      </w:pPr>
    </w:p>
    <w:p>
      <w:pPr>
        <w:ind w:right="80" w:firstLine="1880"/>
        <w:spacing w:after="0" w:line="249" w:lineRule="auto"/>
        <w:tabs>
          <w:tab w:leader="none" w:pos="226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Indebtedness of the Borrower or any Restricted Subsidiary supported by letters of credit or bank guarantees issued in connection herewith, any Credit Agreement Refinancing Indebtedness, Permitted Incremental Equivalent Debt or any Additional Letter of Credit Facility, in each case, in a principal amount not in excess of the maximum amount available to be drawn (not to exceed the applicable stated amount thereof) on such letters of credit or bank guarantees;</w:t>
      </w:r>
    </w:p>
    <w:p>
      <w:pPr>
        <w:spacing w:after="0" w:line="179" w:lineRule="exact"/>
        <w:rPr>
          <w:rFonts w:ascii="Times New Roman" w:cs="Times New Roman" w:eastAsia="Times New Roman" w:hAnsi="Times New Roman"/>
          <w:sz w:val="20"/>
          <w:szCs w:val="20"/>
          <w:color w:val="auto"/>
        </w:rPr>
      </w:pPr>
    </w:p>
    <w:p>
      <w:pPr>
        <w:ind w:right="40" w:firstLine="1880"/>
        <w:spacing w:after="0" w:line="246" w:lineRule="auto"/>
        <w:tabs>
          <w:tab w:leader="none" w:pos="226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incurrence of any guarantee by the Borrower or a Restricted Subsidiary of Indebtedness or other obligations of the Borrower or any Restricted Subsidiary so long as the incurrence of such Indebtedness or other obligations incurred by the Borrower or such Restricted Subsidiary is permitted by this Agreement or (ii) any co-issuance by the Borrower or any Restricted Subsidiary of any Indebtedness or other obligations of the Borrower or any Restricted Subsidiary so long as the incurrence of such Indebtedness or other obligations by the Borrower or such Restricted Subsidiary is permitted by this Agreement;</w:t>
      </w:r>
    </w:p>
    <w:p>
      <w:pPr>
        <w:spacing w:after="0" w:line="184" w:lineRule="exact"/>
        <w:rPr>
          <w:rFonts w:ascii="Times New Roman" w:cs="Times New Roman" w:eastAsia="Times New Roman" w:hAnsi="Times New Roman"/>
          <w:sz w:val="20"/>
          <w:szCs w:val="20"/>
          <w:color w:val="auto"/>
        </w:rPr>
      </w:pPr>
    </w:p>
    <w:p>
      <w:pPr>
        <w:ind w:right="20" w:firstLine="1880"/>
        <w:spacing w:after="0" w:line="246" w:lineRule="auto"/>
        <w:tabs>
          <w:tab w:leader="none" w:pos="226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of Indebtedness issued by the Borrower or any Restricted Subsidiary to future, present or former employees, directors, officers, members of management, Related Professionals, consultants and independent contractors of the Borrower, any Restricted Subsidiary or any Affiliated Practice, their respective Controlled Investment Affiliates or Immediate Family Members and permitted transferees thereof, in each case to finance the purchase or redemption of Equity Interests of the Borrower or any Parent Company to the extent described in </w:t>
      </w:r>
      <w:r>
        <w:rPr>
          <w:rFonts w:ascii="Times New Roman" w:cs="Times New Roman" w:eastAsia="Times New Roman" w:hAnsi="Times New Roman"/>
          <w:sz w:val="20"/>
          <w:szCs w:val="20"/>
          <w:u w:val="single" w:color="auto"/>
          <w:color w:val="auto"/>
        </w:rPr>
        <w:t>Section 7.05(2)(d);</w:t>
      </w:r>
    </w:p>
    <w:p>
      <w:pPr>
        <w:spacing w:after="0" w:line="184" w:lineRule="exact"/>
        <w:rPr>
          <w:rFonts w:ascii="Times New Roman" w:cs="Times New Roman" w:eastAsia="Times New Roman" w:hAnsi="Times New Roman"/>
          <w:sz w:val="20"/>
          <w:szCs w:val="20"/>
          <w:color w:val="auto"/>
        </w:rPr>
      </w:pPr>
    </w:p>
    <w:p>
      <w:pPr>
        <w:ind w:right="120" w:firstLine="1880"/>
        <w:spacing w:after="0" w:line="269" w:lineRule="auto"/>
        <w:tabs>
          <w:tab w:leader="none" w:pos="226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deposits and advance payments received in the ordinary course of business or consistent with industry practice from customers for goods and services purchased in the ordinary course of business or consistent with industry practice;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9" w:name="page300"/>
    <w:bookmarkEnd w:id="299"/>
    <w:p>
      <w:pPr>
        <w:ind w:left="-20" w:right="120" w:firstLine="1880"/>
        <w:spacing w:after="0" w:line="246" w:lineRule="auto"/>
        <w:tabs>
          <w:tab w:leader="none" w:pos="224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 Indebtedness owed to banks and other financial institutions incurred in the ordinary course of business or consistent with industry practice in connection with ordinary banking arrangements to manage cash balances of the Borrower, its Restricted Subsidiaries (including short-term pooling and similar intercompany arrangements in respect of accounts held by Foreign Subsidiaries), any Affiliated Practice or any joint venture and (ii) Indebtedness in respect of Cash Management Services, including Cash Management Obligations;</w:t>
      </w:r>
    </w:p>
    <w:p>
      <w:pPr>
        <w:spacing w:after="0" w:line="184" w:lineRule="exact"/>
        <w:rPr>
          <w:rFonts w:ascii="Times New Roman" w:cs="Times New Roman" w:eastAsia="Times New Roman" w:hAnsi="Times New Roman"/>
          <w:sz w:val="20"/>
          <w:szCs w:val="20"/>
          <w:color w:val="auto"/>
        </w:rPr>
      </w:pPr>
    </w:p>
    <w:p>
      <w:pPr>
        <w:ind w:left="-20" w:right="480" w:firstLine="1880"/>
        <w:spacing w:after="0" w:line="254" w:lineRule="auto"/>
        <w:tabs>
          <w:tab w:leader="none" w:pos="224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Borrower or a Restricted Subsidiary in connection with bankers’ acceptances, discounted bills of exchange or the discounting or factoring of receivables for credit management purposes, in each case incurred or undertaken in the ordinary course of business or consistent with industry practice on arm’s-length commercial terms;</w:t>
      </w:r>
    </w:p>
    <w:p>
      <w:pPr>
        <w:spacing w:after="0" w:line="174" w:lineRule="exact"/>
        <w:rPr>
          <w:rFonts w:ascii="Times New Roman" w:cs="Times New Roman" w:eastAsia="Times New Roman" w:hAnsi="Times New Roman"/>
          <w:sz w:val="20"/>
          <w:szCs w:val="20"/>
          <w:color w:val="auto"/>
        </w:rPr>
      </w:pPr>
    </w:p>
    <w:p>
      <w:pPr>
        <w:ind w:left="-20" w:right="40" w:firstLine="1880"/>
        <w:spacing w:after="0" w:line="254" w:lineRule="auto"/>
        <w:tabs>
          <w:tab w:leader="none" w:pos="224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Indebtedness of the Borrower or any Restricted Subsidiary consisting of (i) the financing of insurance premiums or (ii) take-or-pay obligations contained in supply arrangements in each case, incurred in the ordinary course of business or consistent with industry practice;</w:t>
      </w:r>
    </w:p>
    <w:p>
      <w:pPr>
        <w:spacing w:after="0" w:line="174" w:lineRule="exact"/>
        <w:rPr>
          <w:rFonts w:ascii="Times New Roman" w:cs="Times New Roman" w:eastAsia="Times New Roman" w:hAnsi="Times New Roman"/>
          <w:sz w:val="20"/>
          <w:szCs w:val="20"/>
          <w:color w:val="auto"/>
        </w:rPr>
      </w:pPr>
    </w:p>
    <w:p>
      <w:pPr>
        <w:ind w:left="-20" w:firstLine="1880"/>
        <w:spacing w:after="0" w:line="243" w:lineRule="auto"/>
        <w:tabs>
          <w:tab w:leader="none" w:pos="224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of Indebtedness, Disqualified Stock or Preferred Stock by (i) Restricted Subsidiaries of the Borrower that are not Guarantors and (ii) the incurrence of Indebtedness by the Borrower or any Restricted Subsidiary in connection with any joint venture arrangements and similar binding arrangements, in each case, in an aggregate principal amount or liquidation preference that, when aggregated with the principal amount and liquidation preference of all other Indebtedness, Disqualified Stock and Preferred Stock then outstanding and incurred or issued, as applicable, pursuant to this </w:t>
      </w:r>
      <w:r>
        <w:rPr>
          <w:rFonts w:ascii="Times New Roman" w:cs="Times New Roman" w:eastAsia="Times New Roman" w:hAnsi="Times New Roman"/>
          <w:sz w:val="20"/>
          <w:szCs w:val="20"/>
          <w:u w:val="single" w:color="auto"/>
          <w:color w:val="auto"/>
        </w:rPr>
        <w:t>clause (w)</w:t>
      </w:r>
      <w:r>
        <w:rPr>
          <w:rFonts w:ascii="Times New Roman" w:cs="Times New Roman" w:eastAsia="Times New Roman" w:hAnsi="Times New Roman"/>
          <w:sz w:val="20"/>
          <w:szCs w:val="20"/>
          <w:color w:val="auto"/>
        </w:rPr>
        <w:t>, together with any Refinancing Indebtedness in respect of any of the foregoing (excluding any Incremental Amounts), does not exceed (as of the date such Indebtedness is issued, incurred or otherwise obtained) the greater of (I) $27,000,000 and (II) 25% of Consolidated EBITDA of the Borrower for the most recently ended Test Period (calculated on a pro forma basis);</w:t>
      </w:r>
    </w:p>
    <w:p>
      <w:pPr>
        <w:spacing w:after="0" w:line="189" w:lineRule="exact"/>
        <w:rPr>
          <w:rFonts w:ascii="Times New Roman" w:cs="Times New Roman" w:eastAsia="Times New Roman" w:hAnsi="Times New Roman"/>
          <w:sz w:val="20"/>
          <w:szCs w:val="20"/>
          <w:color w:val="auto"/>
        </w:rPr>
      </w:pPr>
    </w:p>
    <w:p>
      <w:pPr>
        <w:ind w:left="-20" w:right="40" w:firstLine="1880"/>
        <w:spacing w:after="0" w:line="246" w:lineRule="auto"/>
        <w:tabs>
          <w:tab w:leader="none" w:pos="224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Indebtedness by the Borrower or any Restricted Subsidiary undertaken in connection with cash management (including netting services, automatic clearinghouse arrangements, overdraft protections, employee credit card programs and related or similar services or activities) with respect to the Borrower, any Subsidiaries, any Affiliated Practices or any joint venture in the ordinary course of business or consistent with industry practice, including with respect to financial accommodations of the type described in the definition of Cash Management Services;</w:t>
      </w:r>
    </w:p>
    <w:p>
      <w:pPr>
        <w:spacing w:after="0" w:line="184" w:lineRule="exact"/>
        <w:rPr>
          <w:rFonts w:ascii="Times New Roman" w:cs="Times New Roman" w:eastAsia="Times New Roman" w:hAnsi="Times New Roman"/>
          <w:sz w:val="20"/>
          <w:szCs w:val="20"/>
          <w:color w:val="auto"/>
        </w:rPr>
      </w:pPr>
    </w:p>
    <w:p>
      <w:pPr>
        <w:ind w:left="-20" w:right="60" w:firstLine="1880"/>
        <w:spacing w:after="0" w:line="254" w:lineRule="auto"/>
        <w:tabs>
          <w:tab w:leader="none" w:pos="224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Qualified Securitization Facilities and, to the extent constituting Indebtedness, Receivables Financing Transactions in an aggregate outstanding amount not to exceed the greater of (I) $21,500,000 and (II) 20.0% of Consolidated EBITDA of the Borrower for the most recently ended Test Period (calculated on a pro forma basis);</w:t>
      </w:r>
    </w:p>
    <w:p>
      <w:pPr>
        <w:spacing w:after="0" w:line="174" w:lineRule="exact"/>
        <w:rPr>
          <w:rFonts w:ascii="Times New Roman" w:cs="Times New Roman" w:eastAsia="Times New Roman" w:hAnsi="Times New Roman"/>
          <w:sz w:val="20"/>
          <w:szCs w:val="20"/>
          <w:color w:val="auto"/>
        </w:rPr>
      </w:pPr>
    </w:p>
    <w:p>
      <w:pPr>
        <w:ind w:left="-20" w:right="840" w:firstLine="1880"/>
        <w:spacing w:after="0" w:line="269" w:lineRule="auto"/>
        <w:tabs>
          <w:tab w:leader="none" w:pos="224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incurred in the ordinary course of business or consistent with industry practice in respect of obligations to suppliers, customers, franchisees, lessors, licensees, sub-licensees and distribution partners;</w:t>
      </w:r>
    </w:p>
    <w:p>
      <w:pPr>
        <w:spacing w:after="0" w:line="159" w:lineRule="exact"/>
        <w:rPr>
          <w:sz w:val="20"/>
          <w:szCs w:val="20"/>
          <w:color w:val="auto"/>
        </w:rPr>
      </w:pPr>
    </w:p>
    <w:p>
      <w:pPr>
        <w:ind w:left="-20" w:right="140" w:firstLine="1880"/>
        <w:spacing w:after="0" w:line="254" w:lineRule="auto"/>
        <w:tabs>
          <w:tab w:leader="none" w:pos="2248"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Indebtedness attributable to (but not incurred to finance) the exercise of appraisal rights or the settlement of any claims or actions (whether actual, contingent or potential) with respect to the Transactions or any other acquisition (by merger, consolidation or amalgamation or otherwise) in accordance with the terms hereof;</w:t>
      </w:r>
    </w:p>
    <w:p>
      <w:pPr>
        <w:spacing w:after="0" w:line="174" w:lineRule="exact"/>
        <w:rPr>
          <w:rFonts w:ascii="Times New Roman" w:cs="Times New Roman" w:eastAsia="Times New Roman" w:hAnsi="Times New Roman"/>
          <w:sz w:val="20"/>
          <w:szCs w:val="20"/>
          <w:color w:val="auto"/>
        </w:rPr>
      </w:pPr>
    </w:p>
    <w:p>
      <w:pPr>
        <w:ind w:left="-20" w:right="240" w:firstLine="1880"/>
        <w:spacing w:after="0" w:line="269" w:lineRule="auto"/>
        <w:tabs>
          <w:tab w:leader="none" w:pos="2248"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Indebtedness representing deferred compensation to employees (or Related Professionals) of any Parent Company, the Borrower, any Restricted Subsidiary or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00" w:name="page301"/>
    <w:bookmarkEnd w:id="300"/>
    <w:p>
      <w:pPr>
        <w:jc w:val="both"/>
        <w:ind w:right="340"/>
        <w:spacing w:after="0" w:line="254" w:lineRule="auto"/>
        <w:rPr>
          <w:sz w:val="20"/>
          <w:szCs w:val="20"/>
          <w:color w:val="auto"/>
        </w:rPr>
      </w:pPr>
      <w:r>
        <w:rPr>
          <w:rFonts w:ascii="Times New Roman" w:cs="Times New Roman" w:eastAsia="Times New Roman" w:hAnsi="Times New Roman"/>
          <w:sz w:val="20"/>
          <w:szCs w:val="20"/>
          <w:color w:val="auto"/>
        </w:rPr>
        <w:t>any Affiliated Practice, including Indebtedness consisting of obligations under deferred compensation or any other similar arrangements incurred in connection with the Transactions, any investment or any acquisition (by merger, consolidation or amalgamation or otherwise) permitted under this Agreement;</w:t>
      </w:r>
    </w:p>
    <w:p>
      <w:pPr>
        <w:spacing w:after="0" w:line="174" w:lineRule="exact"/>
        <w:rPr>
          <w:sz w:val="20"/>
          <w:szCs w:val="20"/>
          <w:color w:val="auto"/>
        </w:rPr>
      </w:pPr>
    </w:p>
    <w:p>
      <w:pPr>
        <w:ind w:right="100" w:firstLine="1880"/>
        <w:spacing w:after="0" w:line="269" w:lineRule="auto"/>
        <w:tabs>
          <w:tab w:leader="none" w:pos="2268"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Indebtedness arising out of any Sale-Leaseback Transaction incurred in the ordinary course of business or consistent with industry practice;</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Credit Agreement Refinancing Indebtedness and (ii) Permitted Incremental Equivalent Debt;</w:t>
      </w:r>
    </w:p>
    <w:p>
      <w:pPr>
        <w:spacing w:after="0" w:line="215" w:lineRule="exact"/>
        <w:rPr>
          <w:rFonts w:ascii="Times New Roman" w:cs="Times New Roman" w:eastAsia="Times New Roman" w:hAnsi="Times New Roman"/>
          <w:sz w:val="20"/>
          <w:szCs w:val="20"/>
          <w:color w:val="auto"/>
        </w:rPr>
      </w:pPr>
    </w:p>
    <w:p>
      <w:pPr>
        <w:ind w:right="20" w:firstLine="1880"/>
        <w:spacing w:after="0" w:line="244" w:lineRule="auto"/>
        <w:tabs>
          <w:tab w:leader="none" w:pos="2268"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Indebtedness, Disqualified Stock or Preferred Stock by Restricted Subsidiaries of the Borrower that are not Guarantors to fund working capital requirements in an aggregate principal amount or liquidation preference that, when aggregated with the principal amount and liquidation preference of all other Indebtedness, Disqualified Stock and Preferred Stock then outstanding and incurred or issued, as applicable, pursuant to this clause (ee), together with any Refinancing Indebtedness in respect thereof (excluding any Incremental Amounts), does not exceed (as of the date such Indebtedness, Disqualified Stock or Preferred Stock is issued, incurred or otherwise obtained) the greater of (i) $8,500,000 and (ii) 7.5% of Consolidated EBITDA of the Borrower for the most recently ended Test Period (calculated on a pro forma basis);</w:t>
      </w:r>
    </w:p>
    <w:p>
      <w:pPr>
        <w:spacing w:after="0" w:line="18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firstLine="1880"/>
        <w:spacing w:after="0" w:line="242" w:lineRule="auto"/>
        <w:tabs>
          <w:tab w:leader="none" w:pos="2268"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or any Restricted Subsidiary that is (x) secured by Liens on the Collateral on a basis that is junior in priority to the Liens on the Collateral securing the First Lien Obligations or (y) not secured, or any unsecured Disqualified Stock or Preferred Stock, in an aggregate principal amount not greater than 100.0% of the aggregate amount of Restricted Payments which could be made at the time of such incurrence pursuant to the General Restricted Payments Basket and/or the Builder Basket Starter Prong;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available for making Restricted Payments pursuant to the General Restricted Payments Basket and/or the Builder Basket Starter Prong, as applicable, shall be reduced by an amount equal to 100.0% of the aggregate outstanding principal amount of Indebtedness incurred pursuant to this </w:t>
      </w:r>
      <w:r>
        <w:rPr>
          <w:rFonts w:ascii="Times New Roman" w:cs="Times New Roman" w:eastAsia="Times New Roman" w:hAnsi="Times New Roman"/>
          <w:sz w:val="20"/>
          <w:szCs w:val="20"/>
          <w:u w:val="single" w:color="auto"/>
          <w:color w:val="auto"/>
        </w:rPr>
        <w:t>Section 7.02(2)(gg)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to the extent such Indebtedness is secured by the Collateral on a junior lien basis with the First Lien Obligations, such Indebtedness shall be subject to the applicable Intercreditor Agreement or other intercreditor arrangements reasonably satisfactory to the Administrative Agent;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such Indebtedness shall not mature earlier than, or provide for any mandatory amortization prior to, 91 days after the then-Latest Maturity Date of the Closing Date Term Facility in effect immediately prior to the incurrence of such Indebtedness;</w:t>
      </w:r>
    </w:p>
    <w:p>
      <w:pPr>
        <w:spacing w:after="0" w:line="18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right="660" w:firstLine="1880"/>
        <w:spacing w:after="0" w:line="269" w:lineRule="auto"/>
        <w:tabs>
          <w:tab w:leader="none" w:pos="2268"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(hh)</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20" w:firstLine="1880"/>
        <w:spacing w:after="0" w:line="269" w:lineRule="auto"/>
        <w:tabs>
          <w:tab w:leader="none" w:pos="2268" w:val="left"/>
        </w:tabs>
        <w:numPr>
          <w:ilvl w:val="1"/>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Indebtedness outstanding under any clause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will be determined after giving effect to the application of proceeds of any such Indebtedness to refinance any such other Indebtedness; and</w:t>
      </w:r>
    </w:p>
    <w:p>
      <w:pPr>
        <w:spacing w:after="0" w:line="159" w:lineRule="exact"/>
        <w:rPr>
          <w:rFonts w:ascii="Times New Roman" w:cs="Times New Roman" w:eastAsia="Times New Roman" w:hAnsi="Times New Roman"/>
          <w:sz w:val="20"/>
          <w:szCs w:val="20"/>
          <w:color w:val="auto"/>
        </w:rPr>
      </w:pPr>
    </w:p>
    <w:p>
      <w:pPr>
        <w:ind w:right="40" w:firstLine="1880"/>
        <w:spacing w:after="0" w:line="269" w:lineRule="auto"/>
        <w:tabs>
          <w:tab w:leader="none" w:pos="2268" w:val="left"/>
        </w:tabs>
        <w:numPr>
          <w:ilvl w:val="1"/>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or obligations in respect of letters of credit relating to, Indebtedness that are otherwise included in the determination of a particular amount of Indebtedness will</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01" w:name="page302"/>
    <w:bookmarkEnd w:id="301"/>
    <w:p>
      <w:pPr>
        <w:ind w:right="240"/>
        <w:spacing w:after="0" w:line="269" w:lineRule="auto"/>
        <w:rPr>
          <w:sz w:val="20"/>
          <w:szCs w:val="20"/>
          <w:color w:val="auto"/>
        </w:rPr>
      </w:pPr>
      <w:r>
        <w:rPr>
          <w:rFonts w:ascii="Times New Roman" w:cs="Times New Roman" w:eastAsia="Times New Roman" w:hAnsi="Times New Roman"/>
          <w:sz w:val="20"/>
          <w:szCs w:val="20"/>
          <w:color w:val="auto"/>
        </w:rPr>
        <w:t xml:space="preserve">not be included in the determination of such amount of Indebtedness; provided that the incurrence of the Indebtedness represented by such guarantee or letter of credit, as the case may be, was incurred in compliance with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The accrual of interest or dividends, the accretion of accreted value, the accretion or amortization of original issue discount and the payment of interest or dividends in the form of additional Indebtedness, Disqualified Stock or Preferred Stock and increases in the amount of Indebtedness outstanding solely as a result of fluctuations in the exchange rate of currencies, in each case, will not be deemed to be an incurrence of Indebtedness, Disqualified Stock or Preferred Stock for purposes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Any Indebtedness incurred, or Disqualified Stock or Preferred Stock issued, to refinance Indebtedness incurred, or Disqualified Stock or Preferred Stock issued, pursuant to </w:t>
      </w:r>
      <w:r>
        <w:rPr>
          <w:rFonts w:ascii="Times New Roman" w:cs="Times New Roman" w:eastAsia="Times New Roman" w:hAnsi="Times New Roman"/>
          <w:sz w:val="20"/>
          <w:szCs w:val="20"/>
          <w:u w:val="single" w:color="auto"/>
          <w:color w:val="auto"/>
        </w:rPr>
        <w:t>Section 7.02(1)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(dd)(ii)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(hh)</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7.02(2)</w:t>
      </w:r>
      <w:r>
        <w:rPr>
          <w:rFonts w:ascii="Times New Roman" w:cs="Times New Roman" w:eastAsia="Times New Roman" w:hAnsi="Times New Roman"/>
          <w:sz w:val="20"/>
          <w:szCs w:val="20"/>
          <w:color w:val="auto"/>
        </w:rPr>
        <w:t xml:space="preserve"> will be permitted to include additional Indebtedness, Disqualified Stock or Preferred Stock incurred to pay (I) any accrued and unpaid interest on the Indebtedness, any accrued and unpaid dividends on the Preferred Stock, and any accrued and unpaid dividends on the Disqualified Stock being so refinanced, extended, replaced, refunded, renewed or defeased and (II) the amount of any tender premium or penalty or premium required to be paid under the terms of the instrument or documents governing such refinanced Indebtedness, Preferred Stock or Disqualified Stock and any defeasance costs and any fees and expenses (including original issue discount, upfront fees or similar fees) incurred in connection with the issuance of such new Indebtedness, Preferred Stock or Disqualified Stock or the extension, replacement, refunding, refinancing, renewal or defeasance of such refinanced Indebtedness, Preferred Stock or Disqualified Stock (and with respect to Indebtedness under Designated Revolving Commitments, including an amount equal to any unutilized Designated Revolving Commitments being refinanced, extended, replaced, refunded, renewed or defeased to the extent permanently terminated at the time of incurrence of such Refinancing Indebtedness).</w:t>
      </w:r>
    </w:p>
    <w:p>
      <w:pPr>
        <w:spacing w:after="0" w:line="193"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any Dollar denominated restriction on the incurrence of Indebtedness or issuance of Disqualified Stock or Preferred Stock, the Dollar equivalent principal amount of Indebtedness or liquidation preference of Disqualified Stock or amount of Preferred Stock denominated in a foreign currency will be calculated based on the relevant currency exchange rate in effect on the date such Indebtedness, Disqualified Stock or Preferred Stock was incurred or issued (or, in the case of revolving credit debt, the date such Indebtedness was first committed or first incurred (whichever yields the lower Dollar equivalent));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such Indebtedness, Disqualified Stock or Preferred Stock is issued to Refinance other Indebtedness, Disqualified Stock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Preferred Stock denominated in a foreign currency, and such refinancing would cause the applicable Dollar denominated restriction to be exceeded if calculated at the relevant currency exchange rate in effect on the date of such refinancing, such Dollar denominated restriction will be deemed not to have been exceeded so long as the principal amount of such refinancing Indebtedness, Disqualified Stock or Preferred Stock does not exceed (a) the principal amount of such Indebtedness, the liquidation preference of such Disqualified Stock or the amount of such Preferred Stock (as applicable) being refinanced, extended, replaced, refunded, renewed or defeased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any accrued and unpaid interest on the Indebtedness, any accrued and unpaid dividends on the Preferred Stock, and any accrued and unpaid dividends on the Disqualified Stock being so refinanced, extended, replaced, refunded, renewed or defeased,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(c) the amount of any tender premium or penalty or premium required to be paid under the terms of the instrument or documents governing such refinanced Indebtedness, Preferred Stock or Disqualified Stock and any defeasance costs and any fees and expenses (including original issue discount, upfront fees or similar fees) incurred in connection with the issuance of such new Indebtedness, Preferred Stock or Disqualified Stock or the extension, replacement, refunding, refinancing, renewal or defeasance of such refinanced Indebtedness, Preferred Stock or Disqualified Stock (and with respect to Indebtedness under Designated Revolving Commitments, including an amount equal to any unutilized Designated Revolving Commitments being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02" w:name="page303"/>
    <w:bookmarkEnd w:id="302"/>
    <w:p>
      <w:pPr>
        <w:ind w:right="700"/>
        <w:spacing w:after="0" w:line="269" w:lineRule="auto"/>
        <w:rPr>
          <w:sz w:val="20"/>
          <w:szCs w:val="20"/>
          <w:color w:val="auto"/>
        </w:rPr>
      </w:pPr>
      <w:r>
        <w:rPr>
          <w:rFonts w:ascii="Times New Roman" w:cs="Times New Roman" w:eastAsia="Times New Roman" w:hAnsi="Times New Roman"/>
          <w:sz w:val="20"/>
          <w:szCs w:val="20"/>
          <w:color w:val="auto"/>
        </w:rPr>
        <w:t>refinanced, extended, replaced, refunded, renewed or defeased to the extent permanently terminated at the time of incurrence of such Refinancing Indebtedness).</w:t>
      </w:r>
    </w:p>
    <w:p>
      <w:pPr>
        <w:spacing w:after="0" w:line="159" w:lineRule="exact"/>
        <w:rPr>
          <w:sz w:val="20"/>
          <w:szCs w:val="20"/>
          <w:color w:val="auto"/>
        </w:rPr>
      </w:pPr>
    </w:p>
    <w:p>
      <w:pPr>
        <w:ind w:firstLine="1497"/>
        <w:spacing w:after="0" w:line="244" w:lineRule="auto"/>
        <w:rPr>
          <w:sz w:val="20"/>
          <w:szCs w:val="20"/>
          <w:color w:val="auto"/>
        </w:rPr>
      </w:pPr>
      <w:r>
        <w:rPr>
          <w:rFonts w:ascii="Times New Roman" w:cs="Times New Roman" w:eastAsia="Times New Roman" w:hAnsi="Times New Roman"/>
          <w:sz w:val="20"/>
          <w:szCs w:val="20"/>
          <w:color w:val="auto"/>
        </w:rPr>
        <w:t>The principal amount of any Indebtedness incurred or Disqualified Stock or Preferred Stock issued to refinance other Indebtedness, Disqualified Stock or Preferred Stock, if incurred or issued in a different currency from the Indebtedness, Disqualified Stock or Preferred Stock, as applicable, being refinanced, will be calculated based on the currency exchange rate applicable to the currencies in which such respective Indebtedness or Disqualified Stock or Preferred Stock is denominated that is in effect on the date of such refinancing. The principal amount of any non-interest bearing Indebtedness or other discount security constituting Indebtedness at any date will be the principal amount thereof that would be shown on a balance sheet of the Borrower or Holdings, as applicable, dated such date prepared in accordance with GAAP.</w:t>
      </w:r>
    </w:p>
    <w:p>
      <w:pPr>
        <w:spacing w:after="0" w:line="186" w:lineRule="exact"/>
        <w:rPr>
          <w:sz w:val="20"/>
          <w:szCs w:val="20"/>
          <w:color w:val="auto"/>
        </w:rPr>
      </w:pPr>
    </w:p>
    <w:p>
      <w:pPr>
        <w:ind w:right="140" w:firstLine="1497"/>
        <w:spacing w:after="0" w:line="249" w:lineRule="auto"/>
        <w:rPr>
          <w:sz w:val="20"/>
          <w:szCs w:val="20"/>
          <w:color w:val="auto"/>
        </w:rPr>
      </w:pPr>
      <w:r>
        <w:rPr>
          <w:rFonts w:ascii="Times New Roman" w:cs="Times New Roman" w:eastAsia="Times New Roman" w:hAnsi="Times New Roman"/>
          <w:sz w:val="20"/>
          <w:szCs w:val="20"/>
          <w:color w:val="auto"/>
        </w:rPr>
        <w:t>SECTION 7.03 Fundamental Changes. The Borrower shall not, nor shall the Borrower permit any Restricted Subsidiary to, consolidate, amalgamate or merge with or into or wind up into another Person, or liquidate or dissolve or dispose of (whether in one transaction or in a series of transactions) all or substantially all of its assets (whether now owned or hereafter acquired) to or in favor of any Person (other than as part of the Transactions), except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-471170</wp:posOffset>
            </wp:positionV>
            <wp:extent cx="100520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7">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60" w:lineRule="exact"/>
        <w:rPr>
          <w:sz w:val="20"/>
          <w:szCs w:val="20"/>
          <w:color w:val="auto"/>
        </w:rPr>
      </w:pPr>
    </w:p>
    <w:p>
      <w:pPr>
        <w:ind w:right="120" w:firstLine="1505"/>
        <w:spacing w:after="0" w:line="269" w:lineRule="auto"/>
        <w:tabs>
          <w:tab w:leader="none" w:pos="1893"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or any Restricted Subsidiary may merge or consolidate with the Borrower (including a merger the purpose of which is to reorganize the Borrower into a new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be the continuing or surviving Person,</w:t>
      </w:r>
    </w:p>
    <w:p>
      <w:pPr>
        <w:spacing w:after="0" w:line="215" w:lineRule="exact"/>
        <w:rPr>
          <w:rFonts w:ascii="Times New Roman" w:cs="Times New Roman" w:eastAsia="Times New Roman" w:hAnsi="Times New Roman"/>
          <w:sz w:val="20"/>
          <w:szCs w:val="20"/>
          <w:color w:val="auto"/>
        </w:rPr>
      </w:pPr>
    </w:p>
    <w:p>
      <w:pPr>
        <w:ind w:right="440" w:firstLine="1880"/>
        <w:spacing w:after="0" w:line="269" w:lineRule="auto"/>
        <w:tabs>
          <w:tab w:leader="none" w:pos="2268"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merger or consolidation does not result in the Borrower ceasing to be organized under the Laws of the United States, any state thereof or the District of Columbia, and</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merger or consolidation of Holdings with and into the Borrower,</w:t>
      </w:r>
    </w:p>
    <w:p>
      <w:pPr>
        <w:spacing w:after="0" w:line="216" w:lineRule="exact"/>
        <w:rPr>
          <w:sz w:val="20"/>
          <w:szCs w:val="20"/>
          <w:color w:val="auto"/>
        </w:rPr>
      </w:pPr>
    </w:p>
    <w:p>
      <w:pPr>
        <w:ind w:left="1900" w:hanging="395"/>
        <w:spacing w:after="0"/>
        <w:tabs>
          <w:tab w:leader="none" w:pos="190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shall not be an obligor in respect of any Indebtedness that is not permitted to be Indebtedness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194" w:lineRule="exact"/>
        <w:rPr>
          <w:sz w:val="20"/>
          <w:szCs w:val="20"/>
          <w:color w:val="auto"/>
        </w:rPr>
      </w:pPr>
    </w:p>
    <w:p>
      <w:pPr>
        <w:ind w:left="1900" w:hanging="395"/>
        <w:spacing w:after="0"/>
        <w:tabs>
          <w:tab w:leader="none" w:pos="19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shall have no direct Subsidiaries at the time of such merger or consolidation other than the Borrower,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exists at such time or after giving effect to such transaction and</w:t>
      </w:r>
    </w:p>
    <w:p>
      <w:pPr>
        <w:spacing w:after="0" w:line="215" w:lineRule="exact"/>
        <w:rPr>
          <w:rFonts w:ascii="Times New Roman" w:cs="Times New Roman" w:eastAsia="Times New Roman" w:hAnsi="Times New Roman"/>
          <w:sz w:val="20"/>
          <w:szCs w:val="20"/>
          <w:color w:val="auto"/>
        </w:rPr>
      </w:pPr>
    </w:p>
    <w:p>
      <w:pPr>
        <w:ind w:right="120" w:firstLine="1505"/>
        <w:spacing w:after="0" w:line="258" w:lineRule="auto"/>
        <w:tabs>
          <w:tab w:leader="none" w:pos="1893" w:val="left"/>
        </w:tabs>
        <w:numPr>
          <w:ilvl w:val="1"/>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such transaction, a direct parent of the Borrower will (I) expressly assume all the obligations of Holdings under this Agreement and the other Loan Documents to which Holdings is a party pursuant to a supplement hereto or thereto in form reasonably satisfactory to the Administrative Agent and the Borrower, (II) pledge 100% of the Equity Interests of the Borrower to the Administrative Agent as Collateral to secure the Obligations in form reasonably satisfactory to the Administrative Agent and the Borrower,</w:t>
      </w:r>
    </w:p>
    <w:p>
      <w:pPr>
        <w:ind w:right="20" w:firstLine="8"/>
        <w:spacing w:after="0" w:line="242" w:lineRule="auto"/>
        <w:tabs>
          <w:tab w:leader="none" w:pos="379"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no direct Subsidiaries other than the Borrower, (V) execute a supplement to the Security Agreement (or in another form reasonably satisfactory to the Administrative Agent), to grant or pledge its assets thereunder and (VI) execute other documentation the Administrative Agent may reasonably request in accordance with the Collateral and Guarantee Requirement;</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03" w:name="page304"/>
    <w:bookmarkEnd w:id="303"/>
    <w:p>
      <w:pPr>
        <w:ind w:right="280" w:firstLine="1880"/>
        <w:spacing w:after="0" w:line="269" w:lineRule="auto"/>
        <w:tabs>
          <w:tab w:leader="none" w:pos="2317"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that is not a Loan Party may merge or consolidate with or into any other Restricted Subsidiary that is not a Loan Party;</w:t>
      </w:r>
    </w:p>
    <w:p>
      <w:pPr>
        <w:spacing w:after="0" w:line="159" w:lineRule="exact"/>
        <w:rPr>
          <w:rFonts w:ascii="Times New Roman" w:cs="Times New Roman" w:eastAsia="Times New Roman" w:hAnsi="Times New Roman"/>
          <w:sz w:val="20"/>
          <w:szCs w:val="20"/>
          <w:color w:val="auto"/>
        </w:rPr>
      </w:pPr>
    </w:p>
    <w:p>
      <w:pPr>
        <w:ind w:right="200" w:firstLine="1880"/>
        <w:spacing w:after="0" w:line="254" w:lineRule="auto"/>
        <w:tabs>
          <w:tab w:leader="none" w:pos="2268"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merge or consolidate with or into any other Restricted Subsidiary that is a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a Loan Party shall be the continuing or surviving Person and (y) if such merger or consolidation includes the Borrower, the Borrower shall be the continuing or surviving Person;</w:t>
      </w:r>
    </w:p>
    <w:p>
      <w:pPr>
        <w:spacing w:after="0" w:line="174" w:lineRule="exact"/>
        <w:rPr>
          <w:rFonts w:ascii="Times New Roman" w:cs="Times New Roman" w:eastAsia="Times New Roman" w:hAnsi="Times New Roman"/>
          <w:sz w:val="20"/>
          <w:szCs w:val="20"/>
          <w:color w:val="auto"/>
        </w:rPr>
      </w:pPr>
    </w:p>
    <w:p>
      <w:pPr>
        <w:jc w:val="both"/>
        <w:ind w:right="180" w:firstLine="1880"/>
        <w:spacing w:after="0" w:line="254" w:lineRule="auto"/>
        <w:tabs>
          <w:tab w:leader="none" w:pos="2268"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merger the sole purpose of which is to reincorporate or reorganize a Loan Party or Restricted Subsidiary in another jurisdiction in the United States will be permitted;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transaction involves a Loan Party, a Loan Party shall be the continuing or surviving Person; and</w:t>
      </w:r>
    </w:p>
    <w:p>
      <w:pPr>
        <w:spacing w:after="0" w:line="174" w:lineRule="exact"/>
        <w:rPr>
          <w:rFonts w:ascii="Times New Roman" w:cs="Times New Roman" w:eastAsia="Times New Roman" w:hAnsi="Times New Roman"/>
          <w:sz w:val="20"/>
          <w:szCs w:val="20"/>
          <w:color w:val="auto"/>
        </w:rPr>
      </w:pPr>
    </w:p>
    <w:p>
      <w:pPr>
        <w:ind w:right="120" w:firstLine="1880"/>
        <w:spacing w:after="0" w:line="254" w:lineRule="auto"/>
        <w:tabs>
          <w:tab w:leader="none" w:pos="2268"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may liquidate or dissolve or change its legal form if the Borrower determines in good faith that such action is in the best interests of the Borrower and the Restricted Subsidiaries and is not materially disadvantageous to the Lenders;</w:t>
      </w:r>
    </w:p>
    <w:p>
      <w:pPr>
        <w:spacing w:after="0" w:line="170" w:lineRule="exact"/>
        <w:rPr>
          <w:sz w:val="20"/>
          <w:szCs w:val="20"/>
          <w:color w:val="auto"/>
        </w:rPr>
      </w:pPr>
    </w:p>
    <w:p>
      <w:pPr>
        <w:ind w:left="760" w:right="6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the case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the Person who receives the assets of such dissolving or liquidated Restricted Subsidiary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is a Guarantor shall be a Loan Party or such disposition shall otherwise be permitted under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or the definition of “Permitted Investments”;</w:t>
      </w:r>
    </w:p>
    <w:p>
      <w:pPr>
        <w:spacing w:after="0" w:line="173" w:lineRule="exact"/>
        <w:rPr>
          <w:sz w:val="20"/>
          <w:szCs w:val="20"/>
          <w:color w:val="auto"/>
        </w:rPr>
      </w:pPr>
    </w:p>
    <w:p>
      <w:pPr>
        <w:ind w:right="20" w:firstLine="1505"/>
        <w:spacing w:after="0" w:line="274" w:lineRule="auto"/>
        <w:tabs>
          <w:tab w:leader="none" w:pos="1893"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Subsidiary may dispose of all or substantially all of its assets (upon voluntary liquidation or otherwise) to the Borrower or another Restricted Subsidiary; provided that any such disposition (upon voluntary liquidation or otherwise) that is a Restricted Payment by any Loan Party to any Restricted Subsidiary that is not a Loan Party shall otherwise be permitted under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firstLine="1505"/>
        <w:spacing w:after="0" w:line="266" w:lineRule="auto"/>
        <w:tabs>
          <w:tab w:leader="none" w:pos="1893"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Event of Default has occurred and is continuing or would result therefrom, the Borrower may merge or consolidate with (or dispose of all or substantially all of its assets to) any other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the Borrower shall be the continuing or surviving Person or (b) if the Person formed by or surviving any such merger or consolidation is not the Borrower (or, in connection with a disposition of all or substantially all of the Borrower’s assets, is the transferee of such assets) (any such Person, a “</w:t>
      </w:r>
      <w:r>
        <w:rPr>
          <w:rFonts w:ascii="Times New Roman" w:cs="Times New Roman" w:eastAsia="Times New Roman" w:hAnsi="Times New Roman"/>
          <w:sz w:val="19"/>
          <w:szCs w:val="19"/>
          <w:b w:val="1"/>
          <w:bCs w:val="1"/>
          <w:color w:val="auto"/>
        </w:rPr>
        <w:t>Successor Borrower</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left="1900" w:hanging="395"/>
        <w:spacing w:after="0"/>
        <w:tabs>
          <w:tab w:leader="none" w:pos="190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Borrower will:</w:t>
      </w:r>
    </w:p>
    <w:p>
      <w:pPr>
        <w:spacing w:after="0" w:line="215" w:lineRule="exact"/>
        <w:rPr>
          <w:rFonts w:ascii="Times New Roman" w:cs="Times New Roman" w:eastAsia="Times New Roman" w:hAnsi="Times New Roman"/>
          <w:sz w:val="20"/>
          <w:szCs w:val="20"/>
          <w:color w:val="auto"/>
        </w:rPr>
      </w:pPr>
    </w:p>
    <w:p>
      <w:pPr>
        <w:ind w:left="3000" w:right="460" w:firstLine="3"/>
        <w:spacing w:after="0" w:line="269" w:lineRule="auto"/>
        <w:tabs>
          <w:tab w:leader="none" w:pos="3396"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an entity organized or existing under the laws of the United States, any state thereof or the District of Columbia,</w:t>
      </w:r>
    </w:p>
    <w:p>
      <w:pPr>
        <w:spacing w:after="0" w:line="159" w:lineRule="exact"/>
        <w:rPr>
          <w:sz w:val="20"/>
          <w:szCs w:val="20"/>
          <w:color w:val="auto"/>
        </w:rPr>
      </w:pPr>
    </w:p>
    <w:p>
      <w:pPr>
        <w:ind w:left="3000" w:right="380" w:firstLine="3"/>
        <w:spacing w:after="0" w:line="254" w:lineRule="auto"/>
        <w:tabs>
          <w:tab w:leader="none" w:pos="3396"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assume all the obligations of the Borrower under this Agreement and the other Loan Documents to which the Borrower is a party pursuant to a supplement hereto or thereto in form reasonably satisfactory to the Administrative Agent and the Borrower,</w:t>
      </w:r>
    </w:p>
    <w:p>
      <w:pPr>
        <w:spacing w:after="0" w:line="174" w:lineRule="exact"/>
        <w:rPr>
          <w:sz w:val="20"/>
          <w:szCs w:val="20"/>
          <w:color w:val="auto"/>
        </w:rPr>
      </w:pPr>
    </w:p>
    <w:p>
      <w:pPr>
        <w:ind w:left="3000" w:right="160" w:firstLine="3"/>
        <w:spacing w:after="0" w:line="269" w:lineRule="auto"/>
        <w:tabs>
          <w:tab w:leader="none" w:pos="3396"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any documentation the Administrative Agent may reasonably request in accordance with the Collateral and Guarantee Requirement,</w:t>
      </w:r>
    </w:p>
    <w:p>
      <w:pPr>
        <w:spacing w:after="0" w:line="159" w:lineRule="exact"/>
        <w:rPr>
          <w:sz w:val="20"/>
          <w:szCs w:val="20"/>
          <w:color w:val="auto"/>
        </w:rPr>
      </w:pPr>
    </w:p>
    <w:p>
      <w:pPr>
        <w:ind w:left="3000" w:right="420"/>
        <w:spacing w:after="0" w:line="269" w:lineRule="auto"/>
        <w:rPr>
          <w:sz w:val="20"/>
          <w:szCs w:val="20"/>
          <w:color w:val="auto"/>
        </w:rPr>
      </w:pPr>
      <w:r>
        <w:rPr>
          <w:rFonts w:ascii="Times New Roman" w:cs="Times New Roman" w:eastAsia="Times New Roman" w:hAnsi="Times New Roman"/>
          <w:sz w:val="20"/>
          <w:szCs w:val="20"/>
          <w:color w:val="auto"/>
        </w:rPr>
        <w:t>(IV) have 100% of its issued and outstanding Equity Interests pledged to the Administrative Agent Collateral to secure the Obligations in accordance with the Security Agreement,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4" w:name="page305"/>
    <w:bookmarkEnd w:id="304"/>
    <w:p>
      <w:pPr>
        <w:ind w:left="3000" w:right="20" w:firstLine="3"/>
        <w:spacing w:after="0" w:line="269" w:lineRule="auto"/>
        <w:tabs>
          <w:tab w:leader="none" w:pos="3396"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 supplement to the Security Agreement (or in another form reasonably satisfactory to the Administrative Agent), as applicable, to grant or pledge its assets thereunder and</w:t>
      </w:r>
    </w:p>
    <w:p>
      <w:pPr>
        <w:spacing w:after="0" w:line="159" w:lineRule="exact"/>
        <w:rPr>
          <w:sz w:val="20"/>
          <w:szCs w:val="20"/>
          <w:color w:val="auto"/>
        </w:rPr>
      </w:pPr>
    </w:p>
    <w:p>
      <w:pPr>
        <w:ind w:left="3000" w:right="180"/>
        <w:spacing w:after="0" w:line="246" w:lineRule="auto"/>
        <w:rPr>
          <w:sz w:val="20"/>
          <w:szCs w:val="20"/>
          <w:color w:val="auto"/>
        </w:rPr>
      </w:pPr>
      <w:r>
        <w:rPr>
          <w:rFonts w:ascii="Times New Roman" w:cs="Times New Roman" w:eastAsia="Times New Roman" w:hAnsi="Times New Roman"/>
          <w:sz w:val="20"/>
          <w:szCs w:val="20"/>
          <w:color w:val="auto"/>
        </w:rPr>
        <w:t>(VI) deliver to the Administrative Agent (A) an Officer’s Certificate stating that such merger or consolidation or other transaction and such supplement to this Agreement or any Loan Document (as applicable) comply with this Agreement and (B) to the extent reasonably requested by the Administrative Agent, an Opinion of Counsel including customary organization, due execution, no conflicts and enforceability opinions;</w:t>
      </w:r>
    </w:p>
    <w:p>
      <w:pPr>
        <w:spacing w:after="0" w:line="185" w:lineRule="exact"/>
        <w:rPr>
          <w:sz w:val="20"/>
          <w:szCs w:val="20"/>
          <w:color w:val="auto"/>
        </w:rPr>
      </w:pPr>
    </w:p>
    <w:p>
      <w:pPr>
        <w:ind w:left="1900" w:hanging="395"/>
        <w:spacing w:after="0"/>
        <w:tabs>
          <w:tab w:leader="none" w:pos="190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substantially contemporaneously with such transaction (or at a later date as agreed by the Administrative Agent),</w:t>
      </w:r>
    </w:p>
    <w:p>
      <w:pPr>
        <w:spacing w:after="0" w:line="215" w:lineRule="exact"/>
        <w:rPr>
          <w:rFonts w:ascii="Times New Roman" w:cs="Times New Roman" w:eastAsia="Times New Roman" w:hAnsi="Times New Roman"/>
          <w:sz w:val="20"/>
          <w:szCs w:val="20"/>
          <w:color w:val="auto"/>
        </w:rPr>
      </w:pPr>
    </w:p>
    <w:p>
      <w:pPr>
        <w:ind w:left="3000" w:right="120" w:firstLine="3"/>
        <w:spacing w:after="0" w:line="249" w:lineRule="auto"/>
        <w:tabs>
          <w:tab w:leader="none" w:pos="3396" w:val="left"/>
        </w:tabs>
        <w:numPr>
          <w:ilvl w:val="1"/>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unless it is the other party to such merger or consolidation, will by a supplement to the Guaranty (or in another form reasonably satisfactory to the Administrative Agent and the Borrower) reaffirm its Guaranty of the Obligations (including the Successor Borrower’s obligations under this Agreement), and</w:t>
      </w:r>
    </w:p>
    <w:p>
      <w:pPr>
        <w:spacing w:after="0" w:line="180" w:lineRule="exact"/>
        <w:rPr>
          <w:sz w:val="20"/>
          <w:szCs w:val="20"/>
          <w:color w:val="auto"/>
        </w:rPr>
      </w:pPr>
    </w:p>
    <w:p>
      <w:pPr>
        <w:jc w:val="both"/>
        <w:ind w:left="3000" w:right="300" w:firstLine="3"/>
        <w:spacing w:after="0" w:line="274" w:lineRule="auto"/>
        <w:tabs>
          <w:tab w:leader="none" w:pos="3396" w:val="left"/>
        </w:tabs>
        <w:numPr>
          <w:ilvl w:val="1"/>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unless it is the other party to such merger or consolidation (and not surviving such merger or consolidation), will, by a supplement to the Security Agreement (or in another form reasonably satisfactory to the Administrative Agent), confirm its grant or pledge thereunder;</w:t>
      </w:r>
    </w:p>
    <w:p>
      <w:pPr>
        <w:spacing w:after="0" w:line="156"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firstLine="1505"/>
        <w:spacing w:after="0" w:line="246" w:lineRule="auto"/>
        <w:tabs>
          <w:tab w:leader="none" w:pos="1893"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reasonably requested by the Administrative Agent, the Administrative Agent shall have received at least two (2) Business Days prior to the consummation of such transaction all documentation and other information in respect of the Successor Borrower (including, if the Successor Borrower qualifies as a “legal entity customer” under the Beneficial Ownership Regulation, a Beneficial Ownership Certification in respect of the Successor Borrower) required under applicable “know your customer” and anti-money laundering rules and regulations, including the USA PATRIOT Act;</w:t>
      </w:r>
    </w:p>
    <w:p>
      <w:pPr>
        <w:spacing w:after="0" w:line="181"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that if the foregoing are satisfied, the Successor Borrower will succeed to, and be substituted for, the Borrower under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and in the case of the disposition of all or substantially all assets, the original Borrower will be released;</w:t>
      </w:r>
    </w:p>
    <w:p>
      <w:pPr>
        <w:spacing w:after="0" w:line="156" w:lineRule="exact"/>
        <w:rPr>
          <w:sz w:val="20"/>
          <w:szCs w:val="20"/>
          <w:color w:val="auto"/>
        </w:rPr>
      </w:pPr>
    </w:p>
    <w:p>
      <w:pPr>
        <w:ind w:right="180" w:firstLine="1505"/>
        <w:spacing w:after="0" w:line="254" w:lineRule="auto"/>
        <w:tabs>
          <w:tab w:leader="none" w:pos="1893"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has occurred and is continuing or would result therefrom, Holdings may merge or consolidate with (or dispose of all or substantially all of its assets to) any other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Holdings will be the continuing or surviving Person or (b) if:</w:t>
      </w:r>
    </w:p>
    <w:p>
      <w:pPr>
        <w:spacing w:after="0" w:line="174" w:lineRule="exact"/>
        <w:rPr>
          <w:sz w:val="20"/>
          <w:szCs w:val="20"/>
          <w:color w:val="auto"/>
        </w:rPr>
      </w:pPr>
    </w:p>
    <w:p>
      <w:pPr>
        <w:ind w:left="1900" w:hanging="395"/>
        <w:spacing w:after="0"/>
        <w:tabs>
          <w:tab w:leader="none" w:pos="1900"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formed by or surviving any such merger or consolidation is not Holdings,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is not the Person into which the applicable Person has been liquidated or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05" w:name="page306"/>
    <w:bookmarkEnd w:id="305"/>
    <w:p>
      <w:pPr>
        <w:ind w:firstLine="1505"/>
        <w:spacing w:after="0" w:line="254" w:lineRule="auto"/>
        <w:tabs>
          <w:tab w:leader="none" w:pos="1893"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 disposition of all or substantially all of Holdings’ assets, the Person that is the transferee of such assets is not Holdings (any such Person described in the preceding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color w:val="auto"/>
        </w:rPr>
        <w:t>Successor Holdings</w:t>
      </w:r>
      <w:r>
        <w:rPr>
          <w:rFonts w:ascii="Times New Roman" w:cs="Times New Roman" w:eastAsia="Times New Roman" w:hAnsi="Times New Roman"/>
          <w:sz w:val="20"/>
          <w:szCs w:val="20"/>
          <w:color w:val="auto"/>
        </w:rPr>
        <w:t>”), then the Successor Holdings will:</w:t>
      </w:r>
    </w:p>
    <w:p>
      <w:pPr>
        <w:spacing w:after="0" w:line="174" w:lineRule="exact"/>
        <w:rPr>
          <w:sz w:val="20"/>
          <w:szCs w:val="20"/>
          <w:color w:val="auto"/>
        </w:rPr>
      </w:pPr>
    </w:p>
    <w:p>
      <w:pPr>
        <w:ind w:left="3000" w:right="400" w:firstLine="3"/>
        <w:spacing w:after="0" w:line="269" w:lineRule="auto"/>
        <w:tabs>
          <w:tab w:leader="none" w:pos="3396"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an entity organized or existing under the laws of the United States, any state thereof or the District of Columbia,</w:t>
      </w:r>
    </w:p>
    <w:p>
      <w:pPr>
        <w:spacing w:after="0" w:line="159" w:lineRule="exact"/>
        <w:rPr>
          <w:sz w:val="20"/>
          <w:szCs w:val="20"/>
          <w:color w:val="auto"/>
        </w:rPr>
      </w:pPr>
    </w:p>
    <w:p>
      <w:pPr>
        <w:ind w:left="3000" w:right="60" w:firstLine="3"/>
        <w:spacing w:after="0" w:line="254" w:lineRule="auto"/>
        <w:tabs>
          <w:tab w:leader="none" w:pos="3396"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assume all the obligations of Holdings under this Agreement and the other Loan Documents to which Holdings is a party pursuant to a supplement hereto or thereto in form reasonably satisfactory to the Administrative Agent and the Borrower,</w:t>
      </w:r>
    </w:p>
    <w:p>
      <w:pPr>
        <w:spacing w:after="0" w:line="174" w:lineRule="exact"/>
        <w:rPr>
          <w:sz w:val="20"/>
          <w:szCs w:val="20"/>
          <w:color w:val="auto"/>
        </w:rPr>
      </w:pPr>
    </w:p>
    <w:p>
      <w:pPr>
        <w:ind w:left="3000" w:firstLine="3"/>
        <w:spacing w:after="0" w:line="249" w:lineRule="auto"/>
        <w:tabs>
          <w:tab w:leader="none" w:pos="3396"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 100% of the Equity Interests of the Borrower held by such Successor Holdings to the Administrative Agent as Collateral to secure the Obligations in accordance with the Security Agreement or otherwise in form and substance reasonably satisfactory to the Administrative Agent and the Borrower,</w:t>
      </w:r>
    </w:p>
    <w:p>
      <w:pPr>
        <w:spacing w:after="0" w:line="180" w:lineRule="exact"/>
        <w:rPr>
          <w:sz w:val="20"/>
          <w:szCs w:val="20"/>
          <w:color w:val="auto"/>
        </w:rPr>
      </w:pPr>
    </w:p>
    <w:p>
      <w:pPr>
        <w:ind w:left="3000" w:right="20"/>
        <w:spacing w:after="0" w:line="269" w:lineRule="auto"/>
        <w:rPr>
          <w:sz w:val="20"/>
          <w:szCs w:val="20"/>
          <w:color w:val="auto"/>
        </w:rPr>
      </w:pPr>
      <w:r>
        <w:rPr>
          <w:rFonts w:ascii="Times New Roman" w:cs="Times New Roman" w:eastAsia="Times New Roman" w:hAnsi="Times New Roman"/>
          <w:sz w:val="20"/>
          <w:szCs w:val="20"/>
          <w:color w:val="auto"/>
        </w:rPr>
        <w:t>(IV) execute a supplement to the Security Agreement (or in another form reasonably satisfactory to the Administrative Agent), to grant or pledge its assets thereunder,</w:t>
      </w:r>
    </w:p>
    <w:p>
      <w:pPr>
        <w:spacing w:after="0" w:line="159" w:lineRule="exact"/>
        <w:rPr>
          <w:sz w:val="20"/>
          <w:szCs w:val="20"/>
          <w:color w:val="auto"/>
        </w:rPr>
      </w:pPr>
    </w:p>
    <w:p>
      <w:pPr>
        <w:ind w:left="3000" w:right="100" w:firstLine="3"/>
        <w:spacing w:after="0" w:line="269" w:lineRule="auto"/>
        <w:tabs>
          <w:tab w:leader="none" w:pos="3396"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any documentation the Administrative Agent may reasonably request in accordance with the Collateral and Guarantee Requirement and</w:t>
      </w:r>
    </w:p>
    <w:p>
      <w:pPr>
        <w:spacing w:after="0" w:line="159" w:lineRule="exact"/>
        <w:rPr>
          <w:sz w:val="20"/>
          <w:szCs w:val="20"/>
          <w:color w:val="auto"/>
        </w:rPr>
      </w:pPr>
    </w:p>
    <w:p>
      <w:pPr>
        <w:ind w:left="3000" w:right="20"/>
        <w:spacing w:after="0" w:line="245" w:lineRule="auto"/>
        <w:rPr>
          <w:sz w:val="20"/>
          <w:szCs w:val="20"/>
          <w:color w:val="auto"/>
        </w:rPr>
      </w:pPr>
      <w:r>
        <w:rPr>
          <w:rFonts w:ascii="Times New Roman" w:cs="Times New Roman" w:eastAsia="Times New Roman" w:hAnsi="Times New Roman"/>
          <w:sz w:val="20"/>
          <w:szCs w:val="20"/>
          <w:color w:val="auto"/>
        </w:rPr>
        <w:t>(VI) if requested by the Administrative Agent, deliver, or cause the Borrower to deliver, to the Administrative Agent (A) an Officer’s Certificate stating that such merger or consolidation or other transaction and such supplement to this Agreement or any Collateral Document (as applicable) comply with this Agreement and (B) an Opinion of Counsel including customary organization, due execution, no conflicts and enforceability opinions to the extent reasonably requested by the Administrative Agent; and</w:t>
      </w:r>
    </w:p>
    <w:p>
      <w:pPr>
        <w:spacing w:after="0" w:line="184" w:lineRule="exact"/>
        <w:rPr>
          <w:sz w:val="20"/>
          <w:szCs w:val="20"/>
          <w:color w:val="auto"/>
        </w:rPr>
      </w:pPr>
    </w:p>
    <w:p>
      <w:pPr>
        <w:ind w:firstLine="1505"/>
        <w:spacing w:after="0" w:line="249" w:lineRule="auto"/>
        <w:tabs>
          <w:tab w:leader="none" w:pos="1893"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reasonably requested by the Administrative Agent, the Administrative Agent shall have received at least two (2) Business Days prior to the consummation of such transaction all documentation and other information in respect of the Successor Holdings required under applicable “know your customer” and anti-money laundering rules and regulations, including the USA PATRIOT Act;</w:t>
      </w:r>
    </w:p>
    <w:p>
      <w:pPr>
        <w:spacing w:after="0" w:line="176"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that if the foregoing are satisfied, the Successor Holdings will succeed to, and be substituted for, Holdings under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and in the case of the disposition of all or substantially all assets, the original Holdings will be released;</w:t>
      </w:r>
    </w:p>
    <w:p>
      <w:pPr>
        <w:spacing w:after="0" w:line="156" w:lineRule="exact"/>
        <w:rPr>
          <w:sz w:val="20"/>
          <w:szCs w:val="20"/>
          <w:color w:val="auto"/>
        </w:rPr>
      </w:pPr>
    </w:p>
    <w:p>
      <w:pPr>
        <w:ind w:right="280" w:firstLine="1505"/>
        <w:spacing w:after="0" w:line="269" w:lineRule="auto"/>
        <w:tabs>
          <w:tab w:leader="none" w:pos="1893"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merge or consolidate with (or dispose of all or substantially all of its assets to) any other Person in order to effect a Permitted Investment or other Investment permitted pursuant to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660" w:firstLine="1505"/>
        <w:spacing w:after="0" w:line="269" w:lineRule="auto"/>
        <w:tabs>
          <w:tab w:leader="none" w:pos="1893"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merger, dissolution, liquidation, consolidation or disposition, the purpose of which is to effect a disposition permitted pursuant to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a disposition that does not constitute</w:t>
      </w: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0"/>
          <w:szCs w:val="20"/>
          <w:color w:val="auto"/>
        </w:rPr>
        <w:t xml:space="preserve">any Asset Sale (other than a transaction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Asset Sale) shall be permitted;</w:t>
      </w:r>
    </w:p>
    <w:p>
      <w:pPr>
        <w:spacing w:after="0" w:line="216" w:lineRule="exact"/>
        <w:rPr>
          <w:sz w:val="20"/>
          <w:szCs w:val="20"/>
          <w:color w:val="auto"/>
        </w:rPr>
      </w:pPr>
    </w:p>
    <w:p>
      <w:pPr>
        <w:ind w:right="180" w:firstLine="1505"/>
        <w:spacing w:after="0" w:line="254" w:lineRule="auto"/>
        <w:tabs>
          <w:tab w:leader="none" w:pos="1893"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Holdings and any Restricted Subsidiary may (a) convert into a corporation, partnership, limited partnership, limited liability company or trust organized or existing under the laws of the jurisdiction of organization of the Borrower or the laws of a jurisdiction in the United States and (b) change its name; and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and the Restricted Subsidiaries may consummate the Transactions.</w:t>
      </w:r>
    </w:p>
    <w:p>
      <w:pPr>
        <w:spacing w:after="0" w:line="216" w:lineRule="exact"/>
        <w:rPr>
          <w:sz w:val="20"/>
          <w:szCs w:val="20"/>
          <w:color w:val="auto"/>
        </w:rPr>
      </w:pPr>
    </w:p>
    <w:p>
      <w:pPr>
        <w:ind w:right="460" w:firstLine="1497"/>
        <w:spacing w:after="0" w:line="269" w:lineRule="auto"/>
        <w:rPr>
          <w:sz w:val="20"/>
          <w:szCs w:val="20"/>
          <w:color w:val="auto"/>
        </w:rPr>
      </w:pPr>
      <w:r>
        <w:rPr>
          <w:rFonts w:ascii="Times New Roman" w:cs="Times New Roman" w:eastAsia="Times New Roman" w:hAnsi="Times New Roman"/>
          <w:sz w:val="20"/>
          <w:szCs w:val="20"/>
          <w:color w:val="auto"/>
        </w:rPr>
        <w:t>SECTION 7.04 Asset Sales. The Borrower shall not, nor shall the Borrower permit any Restricted Subsidiary to, consummate any Asset Sale unless:</w:t>
      </w:r>
    </w:p>
    <w:p>
      <w:pPr>
        <w:spacing w:after="0" w:line="159" w:lineRule="exact"/>
        <w:rPr>
          <w:sz w:val="20"/>
          <w:szCs w:val="20"/>
          <w:color w:val="auto"/>
        </w:rPr>
      </w:pPr>
    </w:p>
    <w:p>
      <w:pPr>
        <w:ind w:right="120" w:firstLine="1505"/>
        <w:spacing w:after="0" w:line="249" w:lineRule="auto"/>
        <w:tabs>
          <w:tab w:leader="none" w:pos="1893"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such Restricted Subsidiary, as the case may be, receives consideration (including by way of relief from, or by any other Person assuming responsibility for, any liabilities, contingent or otherwise in connection with such Asset Sale) at least equal to the fair market value (measured at the time of contractually agreeing to such Asset Sale) of the assets sold or otherwise disposed of, and</w:t>
      </w:r>
    </w:p>
    <w:p>
      <w:pPr>
        <w:spacing w:after="0" w:line="179" w:lineRule="exact"/>
        <w:rPr>
          <w:rFonts w:ascii="Times New Roman" w:cs="Times New Roman" w:eastAsia="Times New Roman" w:hAnsi="Times New Roman"/>
          <w:sz w:val="20"/>
          <w:szCs w:val="20"/>
          <w:color w:val="auto"/>
        </w:rPr>
      </w:pPr>
    </w:p>
    <w:p>
      <w:pPr>
        <w:ind w:firstLine="1505"/>
        <w:spacing w:after="0" w:line="243" w:lineRule="auto"/>
        <w:tabs>
          <w:tab w:leader="none" w:pos="1893"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 Permitted Asset Swap, with respect to any Asset Sale pursuant to this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for a purchase price in excess of the greater of (x) $16,500,000 and (y) 15% of Consolidated EBITDA of the Borrower for the most recently ended Test Period (calculated on a pro forma basis), at least 75.0% of the consideration for such Asset Sale, together with all other Asset Sales since the Closing Date (on a cumulative basis), received by the Borrower or a Restricted Subsidiary, as the case may be, is in the form of cash or Cash Equivalents,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such Asset Sale, no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with respect to the Borrower will have occurred and be continuing or would occur as a consequence thereof (this proviso to be tested (if applicable) solely on the applicable LCT Test Date as selected by the Borrower pursuant to </w:t>
      </w:r>
      <w:r>
        <w:rPr>
          <w:rFonts w:ascii="Times New Roman" w:cs="Times New Roman" w:eastAsia="Times New Roman" w:hAnsi="Times New Roman"/>
          <w:sz w:val="20"/>
          <w:szCs w:val="20"/>
          <w:u w:val="single" w:color="auto"/>
          <w:color w:val="auto"/>
        </w:rPr>
        <w:t>Section 1.07(11)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of the following will be deemed to be cash or Cash Equivalents for purposes of this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right="100" w:firstLine="1880"/>
        <w:spacing w:after="0" w:line="244" w:lineRule="auto"/>
        <w:tabs>
          <w:tab w:leader="none" w:pos="2268" w:val="left"/>
        </w:tabs>
        <w:numPr>
          <w:ilvl w:val="2"/>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(as shown on the Borrower’s or any Restricted Subsidiary’s most recent balance sheet or in the footnotes thereto or if incurred or accrued subsequent to the date of such balance sheet, such liabilities that would have been reflected on the Borrower’s or a Restricted Subsidiary’s balance sheet or in the footnotes thereto if such incurrence or accrual had taken place on or prior to the date of such balance sheet, as determined in good faith by the Borrower) of the Borrower or any Restricted Subsidiary, other than liabilities that are by their terms subordinated in right of payment to the Obligations, that are (i) assumed by the transferee of any such assets (or a third party in connection with such transfer) or (ii) otherwise cancelled or terminated in connection with the transaction with such transferee (other than intercompany debt owed to the Borrower or a Restricted Subsidiary);</w:t>
      </w:r>
    </w:p>
    <w:p>
      <w:pPr>
        <w:spacing w:after="0" w:line="185" w:lineRule="exact"/>
        <w:rPr>
          <w:rFonts w:ascii="Times New Roman" w:cs="Times New Roman" w:eastAsia="Times New Roman" w:hAnsi="Times New Roman"/>
          <w:sz w:val="20"/>
          <w:szCs w:val="20"/>
          <w:color w:val="auto"/>
        </w:rPr>
      </w:pPr>
    </w:p>
    <w:p>
      <w:pPr>
        <w:ind w:right="160" w:firstLine="1880"/>
        <w:spacing w:after="0" w:line="249" w:lineRule="auto"/>
        <w:tabs>
          <w:tab w:leader="none" w:pos="2268" w:val="left"/>
        </w:tabs>
        <w:numPr>
          <w:ilvl w:val="2"/>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securities, notes or other obligations or assets received by the Borrower or any Restricted Subsidiary from such transferee or in connection with such Asset Sale (including earnouts and similar obligations) that are converted by the Borrower or a Restricted Subsidiary into cash or Cash Equivalents, or by their terms are required to be satisfied for cash or Cash Equivalents (to the extent of the cash or Cash Equivalents received) within 180 days following the closing of such Asset Sale;</w:t>
      </w:r>
    </w:p>
    <w:p>
      <w:pPr>
        <w:spacing w:after="0" w:line="179" w:lineRule="exact"/>
        <w:rPr>
          <w:rFonts w:ascii="Times New Roman" w:cs="Times New Roman" w:eastAsia="Times New Roman" w:hAnsi="Times New Roman"/>
          <w:sz w:val="20"/>
          <w:szCs w:val="20"/>
          <w:color w:val="auto"/>
        </w:rPr>
      </w:pPr>
    </w:p>
    <w:p>
      <w:pPr>
        <w:ind w:right="40" w:firstLine="1880"/>
        <w:spacing w:after="0" w:line="264" w:lineRule="auto"/>
        <w:tabs>
          <w:tab w:leader="none" w:pos="2268" w:val="left"/>
        </w:tabs>
        <w:numPr>
          <w:ilvl w:val="2"/>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Designated Non-Cash Consideration received by the Borrower or any Restricted Subsidiary in such Asset Sale having an aggregate fair market value, taken together with all other Designated Non-Cash Consideration received pursuant to this </w:t>
      </w:r>
      <w:r>
        <w:rPr>
          <w:rFonts w:ascii="Times New Roman" w:cs="Times New Roman" w:eastAsia="Times New Roman" w:hAnsi="Times New Roman"/>
          <w:sz w:val="19"/>
          <w:szCs w:val="19"/>
          <w:u w:val="single" w:color="auto"/>
          <w:color w:val="auto"/>
        </w:rPr>
        <w:t>clause</w:t>
      </w:r>
    </w:p>
    <w:p>
      <w:pPr>
        <w:ind w:left="280" w:hanging="272"/>
        <w:spacing w:after="0"/>
        <w:tabs>
          <w:tab w:leader="none" w:pos="280" w:val="left"/>
        </w:tabs>
        <w:numPr>
          <w:ilvl w:val="0"/>
          <w:numId w:val="3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that is at that time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7" w:name="page308"/>
    <w:bookmarkEnd w:id="307"/>
    <w:p>
      <w:pPr>
        <w:ind w:right="120"/>
        <w:spacing w:after="0" w:line="249" w:lineRule="auto"/>
        <w:rPr>
          <w:sz w:val="20"/>
          <w:szCs w:val="20"/>
          <w:color w:val="auto"/>
        </w:rPr>
      </w:pPr>
      <w:r>
        <w:rPr>
          <w:rFonts w:ascii="Times New Roman" w:cs="Times New Roman" w:eastAsia="Times New Roman" w:hAnsi="Times New Roman"/>
          <w:sz w:val="20"/>
          <w:szCs w:val="20"/>
          <w:color w:val="auto"/>
        </w:rPr>
        <w:t>outstanding, not to exceed the greater of (i) $16,500,000 and (ii) 15% of Consolidated EBITDA of the Borrower for the most recently ended Test Period (calculated on a pro forma basis), with the fair market value of each item of Designated Non-Cash Consideration being measured, at the Borrower’s option, either at the time of contractually agreeing to such Asset Sale or at the time received and, in either case, without giving effect to any subsequent change(s) in value;</w:t>
      </w:r>
    </w:p>
    <w:p>
      <w:pPr>
        <w:spacing w:after="0" w:line="180" w:lineRule="exact"/>
        <w:rPr>
          <w:sz w:val="20"/>
          <w:szCs w:val="20"/>
          <w:color w:val="auto"/>
        </w:rPr>
      </w:pPr>
    </w:p>
    <w:p>
      <w:pPr>
        <w:ind w:right="60" w:firstLine="1880"/>
        <w:spacing w:after="0" w:line="274" w:lineRule="auto"/>
        <w:tabs>
          <w:tab w:leader="none" w:pos="2268" w:val="left"/>
        </w:tabs>
        <w:numPr>
          <w:ilvl w:val="0"/>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any Restricted Subsidiary that ceases to be a Restricted Subsidiary as a result of such Asset Sale (other than intercompany debt owed to the Borrower or a Restricted Subsidiary), to the extent that the Borrower and each other Restricted Subsidiary are released from any guarantee of payment of the principal amount of such Indebtedness in connection with such Asset Sale; or</w:t>
      </w:r>
    </w:p>
    <w:p>
      <w:pPr>
        <w:spacing w:after="0" w:line="156" w:lineRule="exact"/>
        <w:rPr>
          <w:rFonts w:ascii="Times New Roman" w:cs="Times New Roman" w:eastAsia="Times New Roman" w:hAnsi="Times New Roman"/>
          <w:sz w:val="19"/>
          <w:szCs w:val="19"/>
          <w:color w:val="auto"/>
        </w:rPr>
      </w:pPr>
    </w:p>
    <w:p>
      <w:pPr>
        <w:ind w:left="2280" w:hanging="400"/>
        <w:spacing w:after="0"/>
        <w:tabs>
          <w:tab w:leader="none" w:pos="228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assets, property or capital or other expenditure of the kind referred to in </w:t>
      </w:r>
      <w:r>
        <w:rPr>
          <w:rFonts w:ascii="Times New Roman" w:cs="Times New Roman" w:eastAsia="Times New Roman" w:hAnsi="Times New Roman"/>
          <w:sz w:val="20"/>
          <w:szCs w:val="20"/>
          <w:u w:val="single" w:color="auto"/>
          <w:color w:val="auto"/>
        </w:rPr>
        <w:t>Section 2.05(2)(b)(ii)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80" w:firstLine="1497"/>
        <w:spacing w:after="0" w:line="249" w:lineRule="auto"/>
        <w:rPr>
          <w:sz w:val="20"/>
          <w:szCs w:val="20"/>
          <w:color w:val="auto"/>
        </w:rPr>
      </w:pPr>
      <w:r>
        <w:rPr>
          <w:rFonts w:ascii="Times New Roman" w:cs="Times New Roman" w:eastAsia="Times New Roman" w:hAnsi="Times New Roman"/>
          <w:sz w:val="20"/>
          <w:szCs w:val="20"/>
          <w:color w:val="auto"/>
        </w:rPr>
        <w:t xml:space="preserve">To the extent any Collateral is disposed of as expressly permitted by this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to any Person other than a Loan Party, such Collateral shall automatically be sold free and clear of the Liens created by the Loan Documents, and, if requested by the Administrative Agent, upon the certification by the Borrower that such disposition is permitted by this Agreement, the Administrative Agent and the Collateral Agent shall be authorized to take any actions deemed appropriate in order to effect the foregoing.</w:t>
      </w:r>
    </w:p>
    <w:p>
      <w:pPr>
        <w:spacing w:after="0" w:line="18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7.05</w:t>
      </w:r>
      <w:r>
        <w:rPr>
          <w:sz w:val="20"/>
          <w:szCs w:val="20"/>
          <w:color w:val="auto"/>
        </w:rPr>
        <w:tab/>
      </w:r>
      <w:r>
        <w:rPr>
          <w:rFonts w:ascii="Times New Roman" w:cs="Times New Roman" w:eastAsia="Times New Roman" w:hAnsi="Times New Roman"/>
          <w:sz w:val="19"/>
          <w:szCs w:val="19"/>
          <w:color w:val="auto"/>
        </w:rPr>
        <w:t>Restricted Payments.</w:t>
      </w:r>
    </w:p>
    <w:p>
      <w:pPr>
        <w:spacing w:after="0" w:line="216"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The Borrower shall not, nor shall the Borrower permit any Restricted Subsidiary to, directly or indirectly:</w:t>
      </w:r>
    </w:p>
    <w:p>
      <w:pPr>
        <w:spacing w:after="0" w:line="216" w:lineRule="exact"/>
        <w:rPr>
          <w:sz w:val="20"/>
          <w:szCs w:val="20"/>
          <w:color w:val="auto"/>
        </w:rPr>
      </w:pPr>
    </w:p>
    <w:p>
      <w:pPr>
        <w:ind w:right="360" w:firstLine="1505"/>
        <w:spacing w:after="0" w:line="254" w:lineRule="auto"/>
        <w:tabs>
          <w:tab w:leader="none" w:pos="1893" w:val="left"/>
        </w:tabs>
        <w:numPr>
          <w:ilvl w:val="0"/>
          <w:numId w:val="3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declare or pay any dividend or make any payment or distribution on account of the Borrower’s or any Restricted Subsidiary’s Equity Interests (in each case, solely in such Person’s capacity as holder of such Equity Interests), including any dividend or distribution payable in connection with any merger, amalgamation or consolidation, other than:</w:t>
      </w:r>
    </w:p>
    <w:p>
      <w:pPr>
        <w:spacing w:after="0" w:line="174" w:lineRule="exact"/>
        <w:rPr>
          <w:sz w:val="20"/>
          <w:szCs w:val="20"/>
          <w:color w:val="auto"/>
        </w:rPr>
      </w:pPr>
    </w:p>
    <w:p>
      <w:pPr>
        <w:ind w:right="760" w:firstLine="1505"/>
        <w:spacing w:after="0" w:line="269" w:lineRule="auto"/>
        <w:tabs>
          <w:tab w:leader="none" w:pos="1893"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payments or distributions payable solely in Equity Interests (other than Disqualified Stock) of the Borrower or a Parent Company or in options, warrants or other rights to purchase such Equity Interests; or</w:t>
      </w:r>
    </w:p>
    <w:p>
      <w:pPr>
        <w:spacing w:after="0" w:line="159" w:lineRule="exact"/>
        <w:rPr>
          <w:rFonts w:ascii="Times New Roman" w:cs="Times New Roman" w:eastAsia="Times New Roman" w:hAnsi="Times New Roman"/>
          <w:sz w:val="20"/>
          <w:szCs w:val="20"/>
          <w:color w:val="auto"/>
        </w:rPr>
      </w:pPr>
    </w:p>
    <w:p>
      <w:pPr>
        <w:ind w:firstLine="1505"/>
        <w:spacing w:after="0" w:line="246" w:lineRule="auto"/>
        <w:tabs>
          <w:tab w:leader="none" w:pos="1893"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payments or distributions by a Restricted Subsidiary so long as, in the case of any dividend, payment or distribution payable on or in respect of any class or series of securities issued by a Restricted Subsidiary other than a wholly owned Subsidiary, the Borrower or a Restricted Subsidiary receives at least its pro rata share of such dividend, payment or distribution in accordance with its Equity Interests in such class or series of securities or such other amount to which it is entitled pursuant to the terms of such Equity Interest;</w:t>
      </w:r>
    </w:p>
    <w:p>
      <w:pPr>
        <w:spacing w:after="0" w:line="185" w:lineRule="exact"/>
        <w:rPr>
          <w:sz w:val="20"/>
          <w:szCs w:val="20"/>
          <w:color w:val="auto"/>
        </w:rPr>
      </w:pPr>
    </w:p>
    <w:p>
      <w:pPr>
        <w:jc w:val="both"/>
        <w:ind w:right="80" w:firstLine="1505"/>
        <w:spacing w:after="0" w:line="254" w:lineRule="auto"/>
        <w:tabs>
          <w:tab w:leader="none" w:pos="1893"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redeem, defease or otherwise acquire or retire for value any Equity Interests of the Borrower or any Parent Company, including in connection with any merger, amalgamation or consolidation, in each case held by Persons other than the Borrower or a Restricted Subsidiary;</w:t>
      </w:r>
    </w:p>
    <w:p>
      <w:pPr>
        <w:spacing w:after="0" w:line="174" w:lineRule="exact"/>
        <w:rPr>
          <w:rFonts w:ascii="Times New Roman" w:cs="Times New Roman" w:eastAsia="Times New Roman" w:hAnsi="Times New Roman"/>
          <w:sz w:val="20"/>
          <w:szCs w:val="20"/>
          <w:color w:val="auto"/>
        </w:rPr>
      </w:pPr>
    </w:p>
    <w:p>
      <w:pPr>
        <w:ind w:right="100" w:firstLine="1505"/>
        <w:spacing w:after="0" w:line="269" w:lineRule="auto"/>
        <w:tabs>
          <w:tab w:leader="none" w:pos="1893"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principal payment on, or redeem, repurchase, defease or otherwise acquire or retire for value, in each case, prior to any scheduled repayment, sinking fund payment or final</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20"/>
          <w:szCs w:val="20"/>
          <w:color w:val="auto"/>
        </w:rPr>
        <w:t>maturity, any Junior Indebtedness, other than Indebtedness permitted under clauses (g), (h) and (i) of Section 7.02(2);</w:t>
      </w:r>
    </w:p>
    <w:p>
      <w:pPr>
        <w:spacing w:after="0" w:line="216" w:lineRule="exact"/>
        <w:rPr>
          <w:sz w:val="20"/>
          <w:szCs w:val="20"/>
          <w:color w:val="auto"/>
        </w:rPr>
      </w:pPr>
    </w:p>
    <w:p>
      <w:pPr>
        <w:ind w:left="1900" w:hanging="395"/>
        <w:spacing w:after="0"/>
        <w:tabs>
          <w:tab w:leader="none" w:pos="1900" w:val="left"/>
        </w:tabs>
        <w:numPr>
          <w:ilvl w:val="0"/>
          <w:numId w:val="3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make any Restricted Investment;</w:t>
      </w:r>
    </w:p>
    <w:p>
      <w:pPr>
        <w:spacing w:after="0" w:line="212"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color w:val="auto"/>
        </w:rPr>
        <w:t xml:space="preserve">(all such payments and other actions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being collectively referred to as “</w:t>
      </w:r>
      <w:r>
        <w:rPr>
          <w:rFonts w:ascii="Times New Roman" w:cs="Times New Roman" w:eastAsia="Times New Roman" w:hAnsi="Times New Roman"/>
          <w:sz w:val="20"/>
          <w:szCs w:val="20"/>
          <w:b w:val="1"/>
          <w:bCs w:val="1"/>
          <w:color w:val="auto"/>
        </w:rPr>
        <w:t>Restricted Payments</w:t>
      </w:r>
      <w:r>
        <w:rPr>
          <w:rFonts w:ascii="Times New Roman" w:cs="Times New Roman" w:eastAsia="Times New Roman" w:hAnsi="Times New Roman"/>
          <w:sz w:val="20"/>
          <w:szCs w:val="20"/>
          <w:color w:val="auto"/>
        </w:rPr>
        <w:t>”), unless, at the time of and immediately after giving effect to such Restricted Payment:</w:t>
      </w:r>
    </w:p>
    <w:p>
      <w:pPr>
        <w:spacing w:after="0" w:line="15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(a)</w:t>
      </w:r>
    </w:p>
    <w:p>
      <w:pPr>
        <w:spacing w:after="0" w:line="216" w:lineRule="exact"/>
        <w:rPr>
          <w:sz w:val="20"/>
          <w:szCs w:val="20"/>
          <w:color w:val="auto"/>
        </w:rPr>
      </w:pPr>
    </w:p>
    <w:p>
      <w:pPr>
        <w:ind w:right="160" w:firstLine="1505"/>
        <w:spacing w:after="0" w:line="266" w:lineRule="auto"/>
        <w:tabs>
          <w:tab w:leader="none" w:pos="1893" w:val="left"/>
        </w:tabs>
        <w:numPr>
          <w:ilvl w:val="0"/>
          <w:numId w:val="3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Restricted Payment of a Loan Party described in </w:t>
      </w:r>
      <w:r>
        <w:rPr>
          <w:rFonts w:ascii="Times New Roman" w:cs="Times New Roman" w:eastAsia="Times New Roman" w:hAnsi="Times New Roman"/>
          <w:sz w:val="19"/>
          <w:szCs w:val="19"/>
          <w:u w:val="single" w:color="auto"/>
          <w:color w:val="auto"/>
        </w:rPr>
        <w:t>clauses (1)(A)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above utilizing (x) </w:t>
      </w:r>
      <w:r>
        <w:rPr>
          <w:rFonts w:ascii="Times New Roman" w:cs="Times New Roman" w:eastAsia="Times New Roman" w:hAnsi="Times New Roman"/>
          <w:sz w:val="19"/>
          <w:szCs w:val="19"/>
          <w:u w:val="single" w:color="auto"/>
          <w:color w:val="auto"/>
        </w:rPr>
        <w:t>clause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(b)(i)</w:t>
      </w:r>
      <w:r>
        <w:rPr>
          <w:rFonts w:ascii="Times New Roman" w:cs="Times New Roman" w:eastAsia="Times New Roman" w:hAnsi="Times New Roman"/>
          <w:sz w:val="19"/>
          <w:szCs w:val="19"/>
          <w:color w:val="auto"/>
        </w:rPr>
        <w:t xml:space="preserve"> below, (I) no Event of Default will have occurred and be continuing or would occur as a consequence thereof and (II) the Total Net Leverage Ratio for the most recently ended Test Period calculated on a pro forma basis would be no greater than 1.50 to 1.00 and (y) the Builder Basket Starter Prong, no Event of Default will have occurred and be continuing or would occur as a consequence thereof; and</w:t>
      </w:r>
    </w:p>
    <w:p>
      <w:pPr>
        <w:spacing w:after="0" w:line="165" w:lineRule="exact"/>
        <w:rPr>
          <w:rFonts w:ascii="Times New Roman" w:cs="Times New Roman" w:eastAsia="Times New Roman" w:hAnsi="Times New Roman"/>
          <w:sz w:val="19"/>
          <w:szCs w:val="19"/>
          <w:color w:val="auto"/>
        </w:rPr>
      </w:pPr>
    </w:p>
    <w:p>
      <w:pPr>
        <w:ind w:right="120" w:firstLine="1505"/>
        <w:spacing w:after="0" w:line="249" w:lineRule="auto"/>
        <w:tabs>
          <w:tab w:leader="none" w:pos="1893"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Restricted Investment utilizing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below or the Builder Basket Starter Prong, (x) no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solely with respect to the Borrower,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will have occurred and be continuing or would occur as a consequence thereof and (y) the Total Net Leverage Ratio for the most recently ended Test Period calculated on a pro forma basis would be no greater than 3.50 to 1.00;</w:t>
      </w:r>
    </w:p>
    <w:p>
      <w:pPr>
        <w:spacing w:after="0" w:line="180" w:lineRule="exact"/>
        <w:rPr>
          <w:sz w:val="20"/>
          <w:szCs w:val="20"/>
          <w:color w:val="auto"/>
        </w:rPr>
      </w:pPr>
    </w:p>
    <w:p>
      <w:pPr>
        <w:ind w:right="40" w:firstLine="1880"/>
        <w:spacing w:after="0" w:line="254" w:lineRule="auto"/>
        <w:tabs>
          <w:tab w:leader="none" w:pos="2268"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Restricted Payment, together with the aggregate amount of all other Restricted Payments (including the fair market value of any non-cash amount) made by the Borrower and its Restricted Subsidiaries after the Closing Date (excluding Restricted Payments permitted by </w:t>
      </w:r>
      <w:r>
        <w:rPr>
          <w:rFonts w:ascii="Times New Roman" w:cs="Times New Roman" w:eastAsia="Times New Roman" w:hAnsi="Times New Roman"/>
          <w:sz w:val="20"/>
          <w:szCs w:val="20"/>
          <w:u w:val="single" w:color="auto"/>
          <w:color w:val="auto"/>
        </w:rPr>
        <w:t>Section 7.05(2)</w:t>
      </w:r>
      <w:r>
        <w:rPr>
          <w:rFonts w:ascii="Times New Roman" w:cs="Times New Roman" w:eastAsia="Times New Roman" w:hAnsi="Times New Roman"/>
          <w:sz w:val="20"/>
          <w:szCs w:val="20"/>
          <w:color w:val="auto"/>
        </w:rPr>
        <w:t xml:space="preserve"> other than clause (a) thereof), is less than the </w:t>
      </w:r>
      <w:r>
        <w:rPr>
          <w:rFonts w:ascii="Times New Roman" w:cs="Times New Roman" w:eastAsia="Times New Roman" w:hAnsi="Times New Roman"/>
          <w:sz w:val="20"/>
          <w:szCs w:val="20"/>
          <w:i w:val="1"/>
          <w:iCs w:val="1"/>
          <w:color w:val="auto"/>
        </w:rPr>
        <w:t>sum</w:t>
      </w:r>
      <w:r>
        <w:rPr>
          <w:rFonts w:ascii="Times New Roman" w:cs="Times New Roman" w:eastAsia="Times New Roman" w:hAnsi="Times New Roman"/>
          <w:sz w:val="20"/>
          <w:szCs w:val="20"/>
          <w:color w:val="auto"/>
        </w:rPr>
        <w:t xml:space="preserve"> of (without duplication):</w:t>
      </w:r>
    </w:p>
    <w:p>
      <w:pPr>
        <w:spacing w:after="0" w:line="174" w:lineRule="exact"/>
        <w:rPr>
          <w:rFonts w:ascii="Times New Roman" w:cs="Times New Roman" w:eastAsia="Times New Roman" w:hAnsi="Times New Roman"/>
          <w:sz w:val="20"/>
          <w:szCs w:val="20"/>
          <w:color w:val="auto"/>
        </w:rPr>
      </w:pPr>
    </w:p>
    <w:p>
      <w:pPr>
        <w:ind w:firstLine="1505"/>
        <w:spacing w:after="0" w:line="249" w:lineRule="auto"/>
        <w:tabs>
          <w:tab w:leader="none" w:pos="1893"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of the Consolidated Net Income of the Borrower for the period (taken as one accounting period) commencing on October 1, 2024 to the end of the most recently ended fiscal quarter for which internal financial statements of the Borrower are available (as determined in good faith by the Borrower) preceding such Restricted Payment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shall in no event be less than $0); </w:t>
      </w:r>
      <w:r>
        <w:rPr>
          <w:rFonts w:ascii="Times New Roman" w:cs="Times New Roman" w:eastAsia="Times New Roman" w:hAnsi="Times New Roman"/>
          <w:sz w:val="20"/>
          <w:szCs w:val="20"/>
          <w:i w:val="1"/>
          <w:iCs w:val="1"/>
          <w:color w:val="auto"/>
        </w:rPr>
        <w:t>plus</w:t>
      </w:r>
    </w:p>
    <w:p>
      <w:pPr>
        <w:spacing w:after="0" w:line="179" w:lineRule="exact"/>
        <w:rPr>
          <w:rFonts w:ascii="Times New Roman" w:cs="Times New Roman" w:eastAsia="Times New Roman" w:hAnsi="Times New Roman"/>
          <w:sz w:val="20"/>
          <w:szCs w:val="20"/>
          <w:color w:val="auto"/>
        </w:rPr>
      </w:pPr>
    </w:p>
    <w:p>
      <w:pPr>
        <w:ind w:right="40" w:firstLine="1505"/>
        <w:spacing w:after="0" w:line="249" w:lineRule="auto"/>
        <w:tabs>
          <w:tab w:leader="none" w:pos="1893"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aggregate net cash proceeds and the fair market value of marketable securities or other property received by the Borrower and its Restricted Subsidiaries since the Closing Date (other than from the Borrower or any Restricted Subsidiary and other than net cash proceeds to the extent such net cash proceeds have been used to incur Indebtedness or issue Disqualified Stock or Preferred Stock pursuant to </w:t>
      </w:r>
      <w:r>
        <w:rPr>
          <w:rFonts w:ascii="Times New Roman" w:cs="Times New Roman" w:eastAsia="Times New Roman" w:hAnsi="Times New Roman"/>
          <w:sz w:val="20"/>
          <w:szCs w:val="20"/>
          <w:u w:val="single" w:color="auto"/>
          <w:color w:val="auto"/>
        </w:rPr>
        <w:t>Section 7.02(2)(l)(i)</w:t>
      </w:r>
      <w:r>
        <w:rPr>
          <w:rFonts w:ascii="Times New Roman" w:cs="Times New Roman" w:eastAsia="Times New Roman" w:hAnsi="Times New Roman"/>
          <w:sz w:val="20"/>
          <w:szCs w:val="20"/>
          <w:color w:val="auto"/>
        </w:rPr>
        <w:t>) from the issue or sale of:</w:t>
      </w:r>
    </w:p>
    <w:p>
      <w:pPr>
        <w:spacing w:after="0" w:line="179" w:lineRule="exact"/>
        <w:rPr>
          <w:rFonts w:ascii="Times New Roman" w:cs="Times New Roman" w:eastAsia="Times New Roman" w:hAnsi="Times New Roman"/>
          <w:sz w:val="20"/>
          <w:szCs w:val="20"/>
          <w:color w:val="auto"/>
        </w:rPr>
      </w:pPr>
    </w:p>
    <w:p>
      <w:pPr>
        <w:ind w:left="2440" w:right="60" w:firstLine="563"/>
        <w:spacing w:after="0" w:line="254" w:lineRule="auto"/>
        <w:tabs>
          <w:tab w:leader="none" w:pos="3397" w:val="left"/>
        </w:tabs>
        <w:numPr>
          <w:ilvl w:val="2"/>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Interests of the Borrower, including Treasury Capital Stock (as defined below), but excluding cash proceeds and the fair market value of marketable securities or other property received from the sale of:</w:t>
      </w:r>
    </w:p>
    <w:p>
      <w:pPr>
        <w:spacing w:after="0" w:line="174" w:lineRule="exact"/>
        <w:rPr>
          <w:sz w:val="20"/>
          <w:szCs w:val="20"/>
          <w:color w:val="auto"/>
        </w:rPr>
      </w:pPr>
    </w:p>
    <w:p>
      <w:pPr>
        <w:ind w:left="3000" w:right="1580" w:firstLine="752"/>
        <w:spacing w:after="0" w:line="266" w:lineRule="auto"/>
        <w:tabs>
          <w:tab w:leader="none" w:pos="4144" w:val="left"/>
        </w:tabs>
        <w:numPr>
          <w:ilvl w:val="0"/>
          <w:numId w:val="3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Interests to any future, present or former employees, directors, officers, members of management, consultants or independent contractors (or their respective Controlled Investment Affiliates, Immediate Family Members or any permitted transferees thereof) of the Borrower, its Subsidiaries or any Parent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9" w:name="page310"/>
    <w:bookmarkEnd w:id="309"/>
    <w:p>
      <w:pPr>
        <w:ind w:left="2940" w:right="1780"/>
        <w:spacing w:after="0" w:line="269" w:lineRule="auto"/>
        <w:rPr>
          <w:sz w:val="20"/>
          <w:szCs w:val="20"/>
          <w:color w:val="auto"/>
        </w:rPr>
      </w:pPr>
      <w:r>
        <w:rPr>
          <w:rFonts w:ascii="Times New Roman" w:cs="Times New Roman" w:eastAsia="Times New Roman" w:hAnsi="Times New Roman"/>
          <w:sz w:val="20"/>
          <w:szCs w:val="20"/>
          <w:color w:val="auto"/>
        </w:rPr>
        <w:t xml:space="preserve">Company after the Closing Date to the extent such amounts have been applied to Restricted Payments made in accordance with </w:t>
      </w:r>
      <w:r>
        <w:rPr>
          <w:rFonts w:ascii="Times New Roman" w:cs="Times New Roman" w:eastAsia="Times New Roman" w:hAnsi="Times New Roman"/>
          <w:sz w:val="20"/>
          <w:szCs w:val="20"/>
          <w:u w:val="single" w:color="auto"/>
          <w:color w:val="auto"/>
        </w:rPr>
        <w:t>Section 7.05(2)(d)</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ind w:left="4080" w:hanging="388"/>
        <w:spacing w:after="0"/>
        <w:tabs>
          <w:tab w:leader="none" w:pos="408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Preferred Stock; and</w:t>
      </w:r>
    </w:p>
    <w:p>
      <w:pPr>
        <w:spacing w:after="0" w:line="215" w:lineRule="exact"/>
        <w:rPr>
          <w:rFonts w:ascii="Times New Roman" w:cs="Times New Roman" w:eastAsia="Times New Roman" w:hAnsi="Times New Roman"/>
          <w:sz w:val="20"/>
          <w:szCs w:val="20"/>
          <w:color w:val="auto"/>
        </w:rPr>
      </w:pPr>
    </w:p>
    <w:p>
      <w:pPr>
        <w:ind w:left="2380" w:right="60" w:firstLine="563"/>
        <w:spacing w:after="0" w:line="249" w:lineRule="auto"/>
        <w:tabs>
          <w:tab w:leader="none" w:pos="3337"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Equity Interests of Parent Companies, to the extent the proceeds of any such issuance or consideration for any such sale are contributed to the Borrower (excluding contributions of the proceeds from the sale of Designated Preferred Stock of such companies or contributions to the extent such amounts have been applied to Restricted Payments made in accordance with </w:t>
      </w:r>
      <w:r>
        <w:rPr>
          <w:rFonts w:ascii="Times New Roman" w:cs="Times New Roman" w:eastAsia="Times New Roman" w:hAnsi="Times New Roman"/>
          <w:sz w:val="20"/>
          <w:szCs w:val="20"/>
          <w:u w:val="single" w:color="auto"/>
          <w:color w:val="auto"/>
        </w:rPr>
        <w:t>Section 7.05(2)(d)</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not include the proceeds from (1) any exercise of the cure right set forth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8.04</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ind w:left="1440" w:firstLine="5"/>
        <w:spacing w:after="0" w:line="242" w:lineRule="auto"/>
        <w:tabs>
          <w:tab w:leader="none" w:pos="1720"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Refunding Capital Stock (as defined below) applied in accordance with </w:t>
      </w:r>
      <w:r>
        <w:rPr>
          <w:rFonts w:ascii="Times New Roman" w:cs="Times New Roman" w:eastAsia="Times New Roman" w:hAnsi="Times New Roman"/>
          <w:sz w:val="20"/>
          <w:szCs w:val="20"/>
          <w:u w:val="single" w:color="auto"/>
          <w:color w:val="auto"/>
        </w:rPr>
        <w:t>Section 7.05(2)(b)</w:t>
      </w:r>
      <w:r>
        <w:rPr>
          <w:rFonts w:ascii="Times New Roman" w:cs="Times New Roman" w:eastAsia="Times New Roman" w:hAnsi="Times New Roman"/>
          <w:sz w:val="20"/>
          <w:szCs w:val="20"/>
          <w:color w:val="auto"/>
        </w:rPr>
        <w:t xml:space="preserve"> below, (3) Equity Interests or convertible debt securities of the Borrower sold to a Restricted Subsidiary, (4) Disqualified Stock or debt securities that have been converted into Disqualified Stock or (5) Excluded Contributions; </w:t>
      </w:r>
      <w:r>
        <w:rPr>
          <w:rFonts w:ascii="Times New Roman" w:cs="Times New Roman" w:eastAsia="Times New Roman" w:hAnsi="Times New Roman"/>
          <w:sz w:val="20"/>
          <w:szCs w:val="20"/>
          <w:i w:val="1"/>
          <w:iCs w:val="1"/>
          <w:color w:val="auto"/>
        </w:rPr>
        <w:t>plus</w:t>
      </w:r>
    </w:p>
    <w:p>
      <w:pPr>
        <w:spacing w:after="0" w:line="187" w:lineRule="exact"/>
        <w:rPr>
          <w:sz w:val="20"/>
          <w:szCs w:val="20"/>
          <w:color w:val="auto"/>
        </w:rPr>
      </w:pPr>
    </w:p>
    <w:p>
      <w:pPr>
        <w:ind w:left="-60" w:right="120" w:firstLine="1505"/>
        <w:spacing w:after="0" w:line="243" w:lineRule="auto"/>
        <w:tabs>
          <w:tab w:leader="none" w:pos="1833"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aggregate amount of cash, Cash Equivalents and the fair market value of marketable securities or other property contributed to the capital of the Borrower following the Closing Date (including the original principal amount of any Indebtedness (and accrued interest) contributed to the Borrower or its Subsidiaries for cancellation) or that becomes part of the capital of the Borrower through consolidation, amalgamation or merger following the Closing Date, in each case, not involving cash consideration payable by the Borrower on account of such consolidation, amalgamation or merger (other than (I) net cash proceeds of any exercise of the cure right set forth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(II) net cash proceeds to the extent such net cash proceeds have been used to incur Indebtedness or issue Disqualified Stock or Preferred Stock pursuant to </w:t>
      </w:r>
      <w:r>
        <w:rPr>
          <w:rFonts w:ascii="Times New Roman" w:cs="Times New Roman" w:eastAsia="Times New Roman" w:hAnsi="Times New Roman"/>
          <w:sz w:val="20"/>
          <w:szCs w:val="20"/>
          <w:u w:val="single" w:color="auto"/>
          <w:color w:val="auto"/>
        </w:rPr>
        <w:t>Section 7.02(2)(l)(i)</w:t>
      </w:r>
      <w:r>
        <w:rPr>
          <w:rFonts w:ascii="Times New Roman" w:cs="Times New Roman" w:eastAsia="Times New Roman" w:hAnsi="Times New Roman"/>
          <w:sz w:val="20"/>
          <w:szCs w:val="20"/>
          <w:color w:val="auto"/>
        </w:rPr>
        <w:t xml:space="preserve">, (III) cash, Cash Equivalents and marketable securities or other property that are contributed by a Restricted Subsidiary or (IV) Excluded Contributions); </w:t>
      </w:r>
      <w:r>
        <w:rPr>
          <w:rFonts w:ascii="Times New Roman" w:cs="Times New Roman" w:eastAsia="Times New Roman" w:hAnsi="Times New Roman"/>
          <w:sz w:val="20"/>
          <w:szCs w:val="20"/>
          <w:i w:val="1"/>
          <w:iCs w:val="1"/>
          <w:color w:val="auto"/>
        </w:rPr>
        <w:t>plus</w:t>
      </w:r>
    </w:p>
    <w:p>
      <w:pPr>
        <w:spacing w:after="0" w:line="189" w:lineRule="exact"/>
        <w:rPr>
          <w:rFonts w:ascii="Times New Roman" w:cs="Times New Roman" w:eastAsia="Times New Roman" w:hAnsi="Times New Roman"/>
          <w:sz w:val="20"/>
          <w:szCs w:val="20"/>
          <w:color w:val="auto"/>
        </w:rPr>
      </w:pPr>
    </w:p>
    <w:p>
      <w:pPr>
        <w:ind w:left="-60" w:right="180" w:firstLine="1505"/>
        <w:spacing w:after="0" w:line="269" w:lineRule="auto"/>
        <w:tabs>
          <w:tab w:leader="none" w:pos="1833"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aggregate amount received in cash and the fair market value of marketable securities or other property received by the Borrower or a Restricted Subsidiary by means of:</w:t>
      </w:r>
    </w:p>
    <w:p>
      <w:pPr>
        <w:spacing w:after="0" w:line="159" w:lineRule="exact"/>
        <w:rPr>
          <w:rFonts w:ascii="Times New Roman" w:cs="Times New Roman" w:eastAsia="Times New Roman" w:hAnsi="Times New Roman"/>
          <w:sz w:val="20"/>
          <w:szCs w:val="20"/>
          <w:color w:val="auto"/>
        </w:rPr>
      </w:pPr>
    </w:p>
    <w:p>
      <w:pPr>
        <w:ind w:left="2380" w:firstLine="563"/>
        <w:spacing w:after="0" w:line="243" w:lineRule="auto"/>
        <w:tabs>
          <w:tab w:leader="none" w:pos="3337" w:val="left"/>
        </w:tabs>
        <w:numPr>
          <w:ilvl w:val="1"/>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or other disposition (other than to the Borrower or a Restricted Subsidiary) of, or other returns on investments from, Restricted Investments made by the Borrower or its Restricted Subsidiaries (including cash distributions and cash interest received in respect of Restricted Investments) and repurchases and redemptions of such Restricted Investments from the Borrower or its Restricted Subsidiaries (other than by the Borrower or a Restricted Subsidiary) and repayments of loans or advances, and releases of guarantees, which constitute Restricted Investments made by the Borrower or its Restricted Subsidiaries, in each case (x) after the Closing Date (excluding any Excluded Contributions made pursuant to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of the definition thereof) and (y) solely to the extent such Investments were originally made using amounts available under this clause (b) or any other Fixed Basket;</w:t>
      </w:r>
    </w:p>
    <w:p>
      <w:pPr>
        <w:spacing w:after="0" w:line="186" w:lineRule="exact"/>
        <w:rPr>
          <w:sz w:val="20"/>
          <w:szCs w:val="20"/>
          <w:color w:val="auto"/>
        </w:rPr>
      </w:pPr>
    </w:p>
    <w:p>
      <w:pPr>
        <w:ind w:left="2200" w:right="100" w:firstLine="743"/>
        <w:spacing w:after="0" w:line="254" w:lineRule="auto"/>
        <w:tabs>
          <w:tab w:leader="none" w:pos="3344"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(other than to the Borrower or a Restricted Subsidiary) of Equity Interests of an Unrestricted Subsidiary or a distribution from an Unrestricted Subsidiary (other than, in each case, to the extent the Investment in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630555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13" w:right="399" w:bottom="1440" w:gutter="0" w:footer="0" w:header="0"/>
        </w:sectPr>
      </w:pPr>
    </w:p>
    <w:bookmarkStart w:id="310" w:name="page311"/>
    <w:bookmarkEnd w:id="310"/>
    <w:p>
      <w:pPr>
        <w:ind w:left="2220" w:right="100"/>
        <w:spacing w:after="0" w:line="246" w:lineRule="auto"/>
        <w:rPr>
          <w:sz w:val="20"/>
          <w:szCs w:val="20"/>
          <w:color w:val="auto"/>
        </w:rPr>
      </w:pPr>
      <w:r>
        <w:rPr>
          <w:rFonts w:ascii="Times New Roman" w:cs="Times New Roman" w:eastAsia="Times New Roman" w:hAnsi="Times New Roman"/>
          <w:sz w:val="20"/>
          <w:szCs w:val="20"/>
          <w:color w:val="auto"/>
        </w:rPr>
        <w:t xml:space="preserve">such Unrestricted Subsidiary constituted a Permitted Investment, but including such cash or fair market value to the extent exceeding the amount of such Permitted Investment) or a dividend from an Unrestricted Subsidiary after the Closing Date (excluding any Excluded Contributions made pursuant to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of the definition thereof), in each case, solely to the extent the original Investment made in such Restricted Subsidiary was made using amounts available under this clause (b) or any other Fixed Basket; or</w:t>
      </w:r>
    </w:p>
    <w:p>
      <w:pPr>
        <w:spacing w:after="0" w:line="185" w:lineRule="exact"/>
        <w:rPr>
          <w:sz w:val="20"/>
          <w:szCs w:val="20"/>
          <w:color w:val="auto"/>
        </w:rPr>
      </w:pPr>
    </w:p>
    <w:p>
      <w:pPr>
        <w:jc w:val="both"/>
        <w:ind w:left="2400" w:right="560" w:firstLine="563"/>
        <w:spacing w:after="0" w:line="254" w:lineRule="auto"/>
        <w:tabs>
          <w:tab w:leader="none" w:pos="3357"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returns, profits, distributions and similar amounts received on account of any Permitted Investment subject to a Dollar-denominated or ratio based Basket (to the extent in excess of the original amount of the Investment); </w:t>
      </w:r>
      <w:r>
        <w:rPr>
          <w:rFonts w:ascii="Times New Roman" w:cs="Times New Roman" w:eastAsia="Times New Roman" w:hAnsi="Times New Roman"/>
          <w:sz w:val="20"/>
          <w:szCs w:val="20"/>
          <w:i w:val="1"/>
          <w:iCs w:val="1"/>
          <w:color w:val="auto"/>
        </w:rPr>
        <w:t>plus</w:t>
      </w:r>
    </w:p>
    <w:p>
      <w:pPr>
        <w:spacing w:after="0" w:line="174" w:lineRule="exact"/>
        <w:rPr>
          <w:rFonts w:ascii="Times New Roman" w:cs="Times New Roman" w:eastAsia="Times New Roman" w:hAnsi="Times New Roman"/>
          <w:sz w:val="20"/>
          <w:szCs w:val="20"/>
          <w:color w:val="auto"/>
        </w:rPr>
      </w:pPr>
    </w:p>
    <w:p>
      <w:pPr>
        <w:ind w:left="-40" w:firstLine="1505"/>
        <w:spacing w:after="0" w:line="244" w:lineRule="auto"/>
        <w:tabs>
          <w:tab w:leader="none" w:pos="1853"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redesignation of an Unrestricted Subsidiary as a Restricted Subsidiary or the merger, amalgamation or consolidation of an Unrestricted Subsidiary into the Borrower or a Restricted Subsidiary or the transfer of all or substantially all of the assets of an Unrestricted Subsidiary to the Borrower or a Restricted Subsidiary after the Closing Date, the fair market value of the Investment in such Unrestricted Subsidiary (or the assets transferred) at the time of the redesignation of such Unrestricted Subsidiary as a Restricted Subsidiary or at the time of such merger, amalgamation, consolidation or transfer of assets, other than to the extent the Investment in such Unrestricted Subsidiary constituted a Permitted Investment, but, to the extent exceeding the amount of such Permitted Investment, including such excess amounts of cash or fair market value; </w:t>
      </w:r>
      <w:r>
        <w:rPr>
          <w:rFonts w:ascii="Times New Roman" w:cs="Times New Roman" w:eastAsia="Times New Roman" w:hAnsi="Times New Roman"/>
          <w:sz w:val="20"/>
          <w:szCs w:val="20"/>
          <w:i w:val="1"/>
          <w:iCs w:val="1"/>
          <w:color w:val="auto"/>
        </w:rPr>
        <w:t>plus</w:t>
      </w:r>
    </w:p>
    <w:p>
      <w:pPr>
        <w:spacing w:after="0" w:line="185" w:lineRule="exact"/>
        <w:rPr>
          <w:rFonts w:ascii="Times New Roman" w:cs="Times New Roman" w:eastAsia="Times New Roman" w:hAnsi="Times New Roman"/>
          <w:sz w:val="20"/>
          <w:szCs w:val="20"/>
          <w:color w:val="auto"/>
        </w:rPr>
      </w:pPr>
    </w:p>
    <w:p>
      <w:pPr>
        <w:ind w:left="-40" w:right="640" w:firstLine="1505"/>
        <w:spacing w:after="0" w:line="269" w:lineRule="auto"/>
        <w:tabs>
          <w:tab w:leader="none" w:pos="1853"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aggregate amount of any Excluded Proceeds (except to the extent utilized to repurchase, redeem, defease, acquire, or retire for value any Junior Indebtedness pursuant to clause (2)(m) below); </w:t>
      </w:r>
      <w:r>
        <w:rPr>
          <w:rFonts w:ascii="Times New Roman" w:cs="Times New Roman" w:eastAsia="Times New Roman" w:hAnsi="Times New Roman"/>
          <w:sz w:val="20"/>
          <w:szCs w:val="20"/>
          <w:i w:val="1"/>
          <w:iCs w:val="1"/>
          <w:color w:val="auto"/>
        </w:rPr>
        <w:t>plus</w:t>
      </w:r>
    </w:p>
    <w:p>
      <w:pPr>
        <w:spacing w:after="0" w:line="159" w:lineRule="exact"/>
        <w:rPr>
          <w:rFonts w:ascii="Times New Roman" w:cs="Times New Roman" w:eastAsia="Times New Roman" w:hAnsi="Times New Roman"/>
          <w:sz w:val="20"/>
          <w:szCs w:val="20"/>
          <w:color w:val="auto"/>
        </w:rPr>
      </w:pPr>
    </w:p>
    <w:p>
      <w:pPr>
        <w:ind w:left="-40" w:right="780" w:firstLine="1505"/>
        <w:spacing w:after="0" w:line="295" w:lineRule="auto"/>
        <w:tabs>
          <w:tab w:leader="none" w:pos="1853" w:val="left"/>
        </w:tabs>
        <w:numPr>
          <w:ilvl w:val="0"/>
          <w:numId w:val="3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greater of (i) $38,000,000 and (ii) 35% of the Consolidated EBITDA of the Borrower and the Restricted Subsidiaries for the most recently ended Test Period (calculated on a pro forma basis) (the “</w:t>
      </w:r>
      <w:r>
        <w:rPr>
          <w:rFonts w:ascii="Times New Roman" w:cs="Times New Roman" w:eastAsia="Times New Roman" w:hAnsi="Times New Roman"/>
          <w:sz w:val="19"/>
          <w:szCs w:val="19"/>
          <w:b w:val="1"/>
          <w:bCs w:val="1"/>
          <w:color w:val="auto"/>
        </w:rPr>
        <w:t>Builder Basket Starter Prong</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40" w:right="160" w:firstLine="1505"/>
        <w:spacing w:after="0" w:line="244" w:lineRule="auto"/>
        <w:tabs>
          <w:tab w:leader="none" w:pos="2249"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aggregate original principal amount or liquidation preference, as applicable, of Indebtedness or Disqualified Stock of the Borrower or any Restricted Subsidiary (in each case, including related accrued interest), that has been converted into or exchanged for Equity Interests of the Borrower or any Parent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will not include any conversions or exchanges for (1) Equity Interests issued as part of the cure right set forth in Section 8.04, (2) Refunding Capital Stock (as defined below) applied in accordance with Section 7.05(2)(b) below, (3) Equity Interests or convertible debt securities of the Borrower sold to a Restricted Subsidiary, (4) Disqualified Stock or debt securities that have been converted into Disqualified Stock or (5) Excluded Contributions; </w:t>
      </w:r>
      <w:r>
        <w:rPr>
          <w:rFonts w:ascii="Times New Roman" w:cs="Times New Roman" w:eastAsia="Times New Roman" w:hAnsi="Times New Roman"/>
          <w:sz w:val="20"/>
          <w:szCs w:val="20"/>
          <w:i w:val="1"/>
          <w:iCs w:val="1"/>
          <w:color w:val="auto"/>
        </w:rPr>
        <w:t>minus</w:t>
      </w:r>
    </w:p>
    <w:p>
      <w:pPr>
        <w:spacing w:after="0" w:line="185" w:lineRule="exact"/>
        <w:rPr>
          <w:rFonts w:ascii="Times New Roman" w:cs="Times New Roman" w:eastAsia="Times New Roman" w:hAnsi="Times New Roman"/>
          <w:sz w:val="20"/>
          <w:szCs w:val="20"/>
          <w:color w:val="auto"/>
        </w:rPr>
      </w:pPr>
    </w:p>
    <w:p>
      <w:pPr>
        <w:ind w:left="1860" w:hanging="395"/>
        <w:spacing w:after="0"/>
        <w:tabs>
          <w:tab w:leader="none" w:pos="1860"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other Restricted Payments and other transactions made pursuant to this Section 7.05(b).</w:t>
      </w:r>
    </w:p>
    <w:p>
      <w:pPr>
        <w:spacing w:after="0" w:line="216" w:lineRule="exact"/>
        <w:rPr>
          <w:sz w:val="20"/>
          <w:szCs w:val="20"/>
          <w:color w:val="auto"/>
        </w:rPr>
      </w:pPr>
    </w:p>
    <w:p>
      <w:pPr>
        <w:ind w:left="1860" w:hanging="395"/>
        <w:spacing w:after="0"/>
        <w:tabs>
          <w:tab w:leader="none" w:pos="186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will not prohibit:</w:t>
      </w:r>
    </w:p>
    <w:p>
      <w:pPr>
        <w:spacing w:after="0" w:line="215" w:lineRule="exact"/>
        <w:rPr>
          <w:rFonts w:ascii="Times New Roman" w:cs="Times New Roman" w:eastAsia="Times New Roman" w:hAnsi="Times New Roman"/>
          <w:sz w:val="20"/>
          <w:szCs w:val="20"/>
          <w:color w:val="auto"/>
        </w:rPr>
      </w:pPr>
    </w:p>
    <w:p>
      <w:pPr>
        <w:jc w:val="both"/>
        <w:ind w:left="-40" w:right="20" w:firstLine="1880"/>
        <w:spacing w:after="0" w:line="274" w:lineRule="auto"/>
        <w:tabs>
          <w:tab w:leader="none" w:pos="2228" w:val="left"/>
        </w:tabs>
        <w:numPr>
          <w:ilvl w:val="1"/>
          <w:numId w:val="3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payment of any dividend or other distribution or the consummation of any irrevocable redemption within 60 days after the date of declaration of the dividend or other distribution or giving of the redemption notice, as the case may be, if at the date of declaration or notice, the dividend or other distribution or redemption payment would have complied with the provisions of this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630555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13" w:right="359" w:bottom="1440" w:gutter="0" w:footer="0" w:header="0"/>
        </w:sectPr>
      </w:pPr>
    </w:p>
    <w:bookmarkStart w:id="311" w:name="page312"/>
    <w:bookmarkEnd w:id="311"/>
    <w:p>
      <w:pPr>
        <w:ind w:left="-40" w:firstLine="1880"/>
        <w:spacing w:after="0" w:line="245" w:lineRule="auto"/>
        <w:tabs>
          <w:tab w:leader="none" w:pos="2228"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redemption, repurchase, defeasance, discharge, retirement or other acquisition of (I) any Equity Interests of the Borrower, any Restricted Subsidiary or any Parent Company, including any accrued and unpaid dividends thereon (“</w:t>
      </w:r>
      <w:r>
        <w:rPr>
          <w:rFonts w:ascii="Times New Roman" w:cs="Times New Roman" w:eastAsia="Times New Roman" w:hAnsi="Times New Roman"/>
          <w:sz w:val="20"/>
          <w:szCs w:val="20"/>
          <w:b w:val="1"/>
          <w:bCs w:val="1"/>
          <w:color w:val="auto"/>
        </w:rPr>
        <w:t>Treasury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 or (II) Junior Indebtedness, in each case, made (A) in exchange for, or out of the proceeds of, a sale or issuance (other than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Subsidiary) of Equity Interests of the Borrower or any Parent Company (in the case of proceeds, to the extent any such proceeds therefrom are contributed to the Borrower) (in each case, other than Disqualified Stock) (“</w:t>
      </w:r>
      <w:r>
        <w:rPr>
          <w:rFonts w:ascii="Times New Roman" w:cs="Times New Roman" w:eastAsia="Times New Roman" w:hAnsi="Times New Roman"/>
          <w:sz w:val="20"/>
          <w:szCs w:val="20"/>
          <w:b w:val="1"/>
          <w:bCs w:val="1"/>
          <w:color w:val="auto"/>
        </w:rPr>
        <w:t>Refunding Capital Stock</w:t>
      </w:r>
      <w:r>
        <w:rPr>
          <w:rFonts w:ascii="Times New Roman" w:cs="Times New Roman" w:eastAsia="Times New Roman" w:hAnsi="Times New Roman"/>
          <w:sz w:val="20"/>
          <w:szCs w:val="20"/>
          <w:color w:val="auto"/>
        </w:rPr>
        <w:t>”) and (B) within 120 days of such sale or issuance,</w:t>
      </w:r>
    </w:p>
    <w:p>
      <w:pPr>
        <w:spacing w:after="0" w:line="184" w:lineRule="exact"/>
        <w:rPr>
          <w:sz w:val="20"/>
          <w:szCs w:val="20"/>
          <w:color w:val="auto"/>
        </w:rPr>
      </w:pPr>
    </w:p>
    <w:p>
      <w:pPr>
        <w:ind w:left="720" w:right="800" w:firstLine="1387"/>
        <w:spacing w:after="0" w:line="254" w:lineRule="auto"/>
        <w:tabs>
          <w:tab w:leader="none" w:pos="2506" w:val="left"/>
        </w:tabs>
        <w:numPr>
          <w:ilvl w:val="2"/>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dividends on Treasury Capital Stock out of the proceeds of a sale or issuance (other than to a Restricted Subsidiary or to an employee stock ownership plan or any trust established by the Borrower or any Restricted Subsidiary) of Refunding Capital Stock made within 120 days of such sale or issuance, and</w:t>
      </w:r>
    </w:p>
    <w:p>
      <w:pPr>
        <w:spacing w:after="0" w:line="174" w:lineRule="exact"/>
        <w:rPr>
          <w:rFonts w:ascii="Times New Roman" w:cs="Times New Roman" w:eastAsia="Times New Roman" w:hAnsi="Times New Roman"/>
          <w:sz w:val="20"/>
          <w:szCs w:val="20"/>
          <w:color w:val="auto"/>
        </w:rPr>
      </w:pPr>
    </w:p>
    <w:p>
      <w:pPr>
        <w:ind w:left="720" w:right="740" w:firstLine="1387"/>
        <w:spacing w:after="0" w:line="245" w:lineRule="auto"/>
        <w:tabs>
          <w:tab w:leader="none" w:pos="2506" w:val="left"/>
        </w:tabs>
        <w:numPr>
          <w:ilvl w:val="2"/>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immediately prior to the retirement of Treasury Capital Stock, the declaration and payment of dividends thereon by the Borrower was permitted under </w:t>
      </w:r>
      <w:r>
        <w:rPr>
          <w:rFonts w:ascii="Times New Roman" w:cs="Times New Roman" w:eastAsia="Times New Roman" w:hAnsi="Times New Roman"/>
          <w:sz w:val="20"/>
          <w:szCs w:val="20"/>
          <w:u w:val="single" w:color="auto"/>
          <w:color w:val="auto"/>
        </w:rPr>
        <w:t>clause (f)(i)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7.05(2)</w:t>
      </w:r>
      <w:r>
        <w:rPr>
          <w:rFonts w:ascii="Times New Roman" w:cs="Times New Roman" w:eastAsia="Times New Roman" w:hAnsi="Times New Roman"/>
          <w:sz w:val="20"/>
          <w:szCs w:val="20"/>
          <w:color w:val="auto"/>
        </w:rPr>
        <w:t xml:space="preserve">, the declaration and payment of dividends on the Refunding Capital Stock (other than Refunding Capital Stock the proceeds of which were used to redeem, repurchase, retire or otherwise acquire any Equity Interests of any Parent Company) in an aggregate amount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no greater than the aggregate amount of dividends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that were declarable and payable on such Treasury Capital Stock immediately prior to such retirement;</w:t>
      </w:r>
    </w:p>
    <w:p>
      <w:pPr>
        <w:spacing w:after="0" w:line="184" w:lineRule="exact"/>
        <w:rPr>
          <w:rFonts w:ascii="Times New Roman" w:cs="Times New Roman" w:eastAsia="Times New Roman" w:hAnsi="Times New Roman"/>
          <w:sz w:val="20"/>
          <w:szCs w:val="20"/>
          <w:color w:val="auto"/>
        </w:rPr>
      </w:pPr>
    </w:p>
    <w:p>
      <w:pPr>
        <w:ind w:left="2240" w:hanging="400"/>
        <w:spacing w:after="0"/>
        <w:tabs>
          <w:tab w:leader="none" w:pos="2240"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payment on, defeasance, redemption, repurchase, exchange or other acquisition or retirement of:</w:t>
      </w:r>
    </w:p>
    <w:p>
      <w:pPr>
        <w:spacing w:after="0" w:line="215" w:lineRule="exact"/>
        <w:rPr>
          <w:rFonts w:ascii="Times New Roman" w:cs="Times New Roman" w:eastAsia="Times New Roman" w:hAnsi="Times New Roman"/>
          <w:sz w:val="20"/>
          <w:szCs w:val="20"/>
          <w:color w:val="auto"/>
        </w:rPr>
      </w:pPr>
    </w:p>
    <w:p>
      <w:pPr>
        <w:ind w:left="-40" w:right="140" w:firstLine="1505"/>
        <w:spacing w:after="0" w:line="254" w:lineRule="auto"/>
        <w:tabs>
          <w:tab w:leader="none" w:pos="1853"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Junior Indebtedness of the Borrower or a Guarantor made by exchange for, or out of the proceeds of the sale, issuance or incurrence of, new Junior Indebtedness of the Borrower or a Guarantor or Disqualified Stock of the Borrower or a Guarantor, in each case made within 120 days of such sale, issuance or incurrence,</w:t>
      </w:r>
    </w:p>
    <w:p>
      <w:pPr>
        <w:spacing w:after="0" w:line="174" w:lineRule="exact"/>
        <w:rPr>
          <w:rFonts w:ascii="Times New Roman" w:cs="Times New Roman" w:eastAsia="Times New Roman" w:hAnsi="Times New Roman"/>
          <w:sz w:val="20"/>
          <w:szCs w:val="20"/>
          <w:color w:val="auto"/>
        </w:rPr>
      </w:pPr>
    </w:p>
    <w:p>
      <w:pPr>
        <w:jc w:val="both"/>
        <w:ind w:left="-40" w:right="60" w:firstLine="1505"/>
        <w:spacing w:after="0" w:line="254" w:lineRule="auto"/>
        <w:tabs>
          <w:tab w:leader="none" w:pos="1853"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Disqualified Stock of the Borrower or a Guarantor made by exchange for, or out of the proceeds of the sale, issuance or incurrence of, Disqualified Stock or Junior Indebtedness of the Borrower or a Guarantor, in each case, made within 120 days of such sale, issuance or incurrence,</w:t>
      </w:r>
    </w:p>
    <w:p>
      <w:pPr>
        <w:spacing w:after="0" w:line="174" w:lineRule="exact"/>
        <w:rPr>
          <w:rFonts w:ascii="Times New Roman" w:cs="Times New Roman" w:eastAsia="Times New Roman" w:hAnsi="Times New Roman"/>
          <w:sz w:val="20"/>
          <w:szCs w:val="20"/>
          <w:color w:val="auto"/>
        </w:rPr>
      </w:pPr>
    </w:p>
    <w:p>
      <w:pPr>
        <w:ind w:left="-40" w:right="80" w:firstLine="1505"/>
        <w:spacing w:after="0" w:line="254" w:lineRule="auto"/>
        <w:tabs>
          <w:tab w:leader="none" w:pos="1853"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Disqualified Stock of a Restricted Subsidiary that is not a Guarantor made by exchange for, or out of the proceeds of the sale or issuance of, Disqualified Stock of a Restricted Subsidiary that is not a Guarantor in each case (I) made within 120 days of such sale or issuance and (II) is Refinancing Indebtedness incurred or issued, as applicable, in compliance with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40" w:right="560" w:firstLine="1505"/>
        <w:spacing w:after="0" w:line="254" w:lineRule="auto"/>
        <w:tabs>
          <w:tab w:leader="none" w:pos="1853"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Junior Indebtedness of the Borrower or a Guarantor made by exchange for, or out of the proceeds of the sale, issuance or incurrence of, any other Indebtedness or Disqualified Stock in each case (I) made within 120 days of such sale, issuance or incurrence and (II) permitted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1860" w:hanging="395"/>
        <w:spacing w:after="0"/>
        <w:tabs>
          <w:tab w:leader="none" w:pos="1860"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Junior Indebtedness or Disqualified Stock that constitutes Acquired Indebtedness;</w:t>
      </w:r>
    </w:p>
    <w:p>
      <w:pPr>
        <w:spacing w:after="0" w:line="215" w:lineRule="exact"/>
        <w:rPr>
          <w:rFonts w:ascii="Times New Roman" w:cs="Times New Roman" w:eastAsia="Times New Roman" w:hAnsi="Times New Roman"/>
          <w:sz w:val="20"/>
          <w:szCs w:val="20"/>
          <w:color w:val="auto"/>
        </w:rPr>
      </w:pPr>
    </w:p>
    <w:p>
      <w:pPr>
        <w:ind w:left="-40" w:right="120" w:firstLine="1880"/>
        <w:spacing w:after="0" w:line="254" w:lineRule="auto"/>
        <w:tabs>
          <w:tab w:leader="none" w:pos="2228"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Payment to pay for the repurchase, retirement or other acquisition or retirement for value of Equity Interests (other than Disqualified Stock) (including related stock appreciation rights or similar securities) of the Borrower or any Parent Company held by any future,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630555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13" w:right="359" w:bottom="1440" w:gutter="0" w:footer="0" w:header="0"/>
        </w:sectPr>
      </w:pPr>
    </w:p>
    <w:bookmarkStart w:id="312" w:name="page313"/>
    <w:bookmarkEnd w:id="312"/>
    <w:p>
      <w:pPr>
        <w:spacing w:after="0" w:line="242" w:lineRule="auto"/>
        <w:rPr>
          <w:sz w:val="20"/>
          <w:szCs w:val="20"/>
          <w:color w:val="auto"/>
        </w:rPr>
      </w:pPr>
      <w:r>
        <w:rPr>
          <w:rFonts w:ascii="Times New Roman" w:cs="Times New Roman" w:eastAsia="Times New Roman" w:hAnsi="Times New Roman"/>
          <w:sz w:val="20"/>
          <w:szCs w:val="20"/>
          <w:color w:val="auto"/>
        </w:rPr>
        <w:t xml:space="preserve">present or former employee, director, officer, member of management, Related Professional, consultant or independent contractor (or their respective Controlled Investment Affiliates or Immediate Family Members or any permitted transferees thereof) of the Borrower, any of its Subsidiaries, any Parent Company or any Affiliated Practice pursuant to any management equity plan or stock option plan or any other management or employee benefit plan or agreement, or any equity subscription or equity holder agreement (including, for the avoidance of doubt, any principal and interest payable on any notes issued by the Borrower or any Parent Company in connection with any such repurchase, retirement or other acquisition), including any Equity Interests rolled over by management of the Borrower, any of its Subsidiaries, any Parent Company or any Affiliated Practice in connection with the Transactions;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Restricted Payments made under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does not exceed the greater of (I) $16,500,000 and (II) 15% of Consolidated EBITDA of the Borrower for the most recently ended Test Period (calculated on a pro forma basis) in any calendar year with unused amounts in any calendar year being carried over to the immediately succeeding calendar year (it being understood that amounts carried over from a preceding fiscal year shall be deemed to be utilized first in such succeeding fiscal year);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each of the amounts in any calendar year under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may be increased by an amount not to exceed:</w:t>
      </w:r>
    </w:p>
    <w:p>
      <w:pPr>
        <w:spacing w:after="0" w:line="187" w:lineRule="exact"/>
        <w:rPr>
          <w:sz w:val="20"/>
          <w:szCs w:val="20"/>
          <w:color w:val="auto"/>
        </w:rPr>
      </w:pPr>
    </w:p>
    <w:p>
      <w:pPr>
        <w:ind w:right="180" w:firstLine="1505"/>
        <w:spacing w:after="0" w:line="243" w:lineRule="auto"/>
        <w:tabs>
          <w:tab w:leader="none" w:pos="1893"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cash proceeds from the sale of Equity Interests (other than Disqualified Stock or any Excluded Contribution) of the Borrower and, to the extent contributed to the Borrower, the cash proceeds from the sale of Equity Interests of any Parent Company, in each case to any future, present or former employees, directors, officers, members of management, consultants, Related Professionals or independent contractors (or their respective Controlled Investment Affiliates or Immediate Family Members or any permitted transferees thereof) of the Borrower, any of its Subsidiaries, any Parent Company or any Affiliated Practice that occurs after the Closing Date, to the extent the cash proceeds from the sale of such Equity Interests have not otherwise been applied to the payment of Restricted Payments by virtue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or to incur Indebtedness or issue Disqualified Stock or Preferred Stock pursuant to </w:t>
      </w:r>
      <w:r>
        <w:rPr>
          <w:rFonts w:ascii="Times New Roman" w:cs="Times New Roman" w:eastAsia="Times New Roman" w:hAnsi="Times New Roman"/>
          <w:sz w:val="20"/>
          <w:szCs w:val="20"/>
          <w:u w:val="single" w:color="auto"/>
          <w:color w:val="auto"/>
        </w:rPr>
        <w:t>Section 7.02(l)(i)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p>
    <w:p>
      <w:pPr>
        <w:spacing w:after="0" w:line="189" w:lineRule="exact"/>
        <w:rPr>
          <w:rFonts w:ascii="Times New Roman" w:cs="Times New Roman" w:eastAsia="Times New Roman" w:hAnsi="Times New Roman"/>
          <w:sz w:val="20"/>
          <w:szCs w:val="20"/>
          <w:color w:val="auto"/>
        </w:rPr>
      </w:pPr>
    </w:p>
    <w:p>
      <w:pPr>
        <w:ind w:right="120" w:firstLine="1505"/>
        <w:spacing w:after="0" w:line="246" w:lineRule="auto"/>
        <w:tabs>
          <w:tab w:leader="none" w:pos="1893"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cash bonuses otherwise payable to members of management, employees, directors, consultants, Related Professionals or independent contractors (or their respective Controlled Investment Affiliates or Immediate Family Members or any permitted transferees thereof) of the Borrower, any of its Subsidiaries, any Parent Company or any Affiliated Practice that are foregone in exchange for the receipt of Equity Interests of the Borrower or any Parent Company pursuant to any compensation arrangement, including any deferred compensation plan; </w:t>
      </w:r>
      <w:r>
        <w:rPr>
          <w:rFonts w:ascii="Times New Roman" w:cs="Times New Roman" w:eastAsia="Times New Roman" w:hAnsi="Times New Roman"/>
          <w:sz w:val="20"/>
          <w:szCs w:val="20"/>
          <w:i w:val="1"/>
          <w:iCs w:val="1"/>
          <w:color w:val="auto"/>
        </w:rPr>
        <w:t>plus</w:t>
      </w:r>
    </w:p>
    <w:p>
      <w:pPr>
        <w:spacing w:after="0" w:line="184" w:lineRule="exact"/>
        <w:rPr>
          <w:rFonts w:ascii="Times New Roman" w:cs="Times New Roman" w:eastAsia="Times New Roman" w:hAnsi="Times New Roman"/>
          <w:sz w:val="20"/>
          <w:szCs w:val="20"/>
          <w:color w:val="auto"/>
        </w:rPr>
      </w:pPr>
    </w:p>
    <w:p>
      <w:pPr>
        <w:ind w:right="180" w:firstLine="1505"/>
        <w:spacing w:after="0" w:line="269" w:lineRule="auto"/>
        <w:tabs>
          <w:tab w:leader="none" w:pos="1893"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cash proceeds of life insurance policies received by the Borrower or its Restricted Subsidiaries or any Affiliated Practice (or by any Parent Company to the extent contributed to the Borrower) after the Closing Date; </w:t>
      </w:r>
      <w:r>
        <w:rPr>
          <w:rFonts w:ascii="Times New Roman" w:cs="Times New Roman" w:eastAsia="Times New Roman" w:hAnsi="Times New Roman"/>
          <w:sz w:val="20"/>
          <w:szCs w:val="20"/>
          <w:i w:val="1"/>
          <w:iCs w:val="1"/>
          <w:color w:val="auto"/>
        </w:rPr>
        <w:t>minus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Restricted Payments previously made with the cash proceeds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760" w:right="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Borrower may elect to apply all or any portion of the aggregate increase contemplated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above in any calendar year;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cancellation of Indebtedness owing to the Borrower or any Restricted Subsidiary from any future, present or former employees, directors, officers, members of management, consultants, Related Professionals or independent contractors (or their respective Controlled Investment Affiliates or Immediate Family Members or any permitted transferees thereof) of the Borrower, any Parent Company, any Restricted Subsidiary or any Affiliated Practice in connection with a repurchase of Equity Interests of the Borrower or any Parent Company will not be deemed to constitute a Restricted Payment for purposes of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or any other provision of this Agreement;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13" w:name="page314"/>
    <w:bookmarkEnd w:id="313"/>
    <w:p>
      <w:pPr>
        <w:ind w:left="2200" w:hanging="400"/>
        <w:spacing w:after="0"/>
        <w:tabs>
          <w:tab w:leader="none" w:pos="2200"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200" w:hanging="400"/>
        <w:spacing w:after="0"/>
        <w:tabs>
          <w:tab w:leader="none" w:pos="2200"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80" w:right="160" w:firstLine="1880"/>
        <w:spacing w:after="0" w:line="249" w:lineRule="auto"/>
        <w:tabs>
          <w:tab w:leader="none" w:pos="2188"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payments made or expected to be made by the Borrower or any Restricted Subsidiary in respect of withholding or similar taxes payable by any future, present or former employee, director, officer, member of management, consultant or independent contractor (or their respective Controlled Investment Affiliates or Immediate Family Members or permitted transferees) of the Borrower, any Restricted Subsidiary or any Parent Company,</w:t>
      </w:r>
    </w:p>
    <w:p>
      <w:pPr>
        <w:spacing w:after="0" w:line="180" w:lineRule="exact"/>
        <w:rPr>
          <w:sz w:val="20"/>
          <w:szCs w:val="20"/>
          <w:color w:val="auto"/>
        </w:rPr>
      </w:pPr>
    </w:p>
    <w:p>
      <w:pPr>
        <w:ind w:left="680" w:right="1180" w:firstLine="1387"/>
        <w:spacing w:after="0" w:line="274" w:lineRule="auto"/>
        <w:tabs>
          <w:tab w:leader="none" w:pos="2466" w:val="left"/>
        </w:tabs>
        <w:numPr>
          <w:ilvl w:val="1"/>
          <w:numId w:val="3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repurchases or withholdings of Equity Interests in connection with the exercise of stock options, warrants or similar rights if such Equity Interests represent a portion of the exercise price of, or withholding obligations with respect to, such options, warrants or similar rights or required withholding or similar taxes, and</w:t>
      </w:r>
    </w:p>
    <w:p>
      <w:pPr>
        <w:spacing w:after="0" w:line="156" w:lineRule="exact"/>
        <w:rPr>
          <w:rFonts w:ascii="Times New Roman" w:cs="Times New Roman" w:eastAsia="Times New Roman" w:hAnsi="Times New Roman"/>
          <w:sz w:val="19"/>
          <w:szCs w:val="19"/>
          <w:color w:val="auto"/>
        </w:rPr>
      </w:pPr>
    </w:p>
    <w:p>
      <w:pPr>
        <w:ind w:left="680" w:right="680" w:firstLine="1387"/>
        <w:spacing w:after="0" w:line="246" w:lineRule="auto"/>
        <w:tabs>
          <w:tab w:leader="none" w:pos="2466" w:val="left"/>
        </w:tabs>
        <w:numPr>
          <w:ilvl w:val="1"/>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to officers, directors, employees, managers, consultants, Related Professionals and independent contractors of the Borrower, any Restricted Subsidiary, any Parent Company or any Affiliated Practice in connection with such Person’s purchase of Equity Interests of the Borrower or any Parent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cash is actually advanced pursuant to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other than to pay Taxes due in connection with such purchase, unless immediately repaid;</w:t>
      </w:r>
    </w:p>
    <w:p>
      <w:pPr>
        <w:spacing w:after="0" w:line="184" w:lineRule="exact"/>
        <w:rPr>
          <w:rFonts w:ascii="Times New Roman" w:cs="Times New Roman" w:eastAsia="Times New Roman" w:hAnsi="Times New Roman"/>
          <w:sz w:val="20"/>
          <w:szCs w:val="20"/>
          <w:color w:val="auto"/>
        </w:rPr>
      </w:pPr>
    </w:p>
    <w:p>
      <w:pPr>
        <w:ind w:left="-80" w:right="220" w:firstLine="1880"/>
        <w:spacing w:after="0" w:line="246" w:lineRule="auto"/>
        <w:tabs>
          <w:tab w:leader="none" w:pos="2188"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in an amount not to exceed 6.00% per annum of the net cash proceeds received by or contributed to the Borrower and its Restricted Subsidiaries in or from, or following the occurrence of, any public offering the Borrower or any Parent Company of its common Equity Interests (including any following on offering), other than public offerings with respect to the Borrower’s or such Parent Company’s common equity registered on Form S-4 or Form S-8 other than any public sale constituting an Excluded Contribution;</w:t>
      </w:r>
    </w:p>
    <w:p>
      <w:pPr>
        <w:spacing w:after="0" w:line="184" w:lineRule="exact"/>
        <w:rPr>
          <w:rFonts w:ascii="Times New Roman" w:cs="Times New Roman" w:eastAsia="Times New Roman" w:hAnsi="Times New Roman"/>
          <w:sz w:val="20"/>
          <w:szCs w:val="20"/>
          <w:color w:val="auto"/>
        </w:rPr>
      </w:pPr>
    </w:p>
    <w:p>
      <w:pPr>
        <w:ind w:left="-80" w:right="220" w:firstLine="1880"/>
        <w:spacing w:after="0" w:line="269" w:lineRule="auto"/>
        <w:tabs>
          <w:tab w:leader="none" w:pos="2188"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(other than Disqualified Stock or Preferred Stock) in an amount that does not exceed the aggregate amount of Excluded Contributions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any previous uses of this clause (i);</w:t>
      </w:r>
    </w:p>
    <w:p>
      <w:pPr>
        <w:spacing w:after="0" w:line="159" w:lineRule="exact"/>
        <w:rPr>
          <w:rFonts w:ascii="Times New Roman" w:cs="Times New Roman" w:eastAsia="Times New Roman" w:hAnsi="Times New Roman"/>
          <w:sz w:val="20"/>
          <w:szCs w:val="20"/>
          <w:color w:val="auto"/>
        </w:rPr>
      </w:pPr>
    </w:p>
    <w:p>
      <w:pPr>
        <w:ind w:left="-80" w:firstLine="1880"/>
        <w:spacing w:after="0" w:line="243" w:lineRule="auto"/>
        <w:tabs>
          <w:tab w:leader="none" w:pos="2188"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in an aggregate amount taken together with all other Restricted Payments made pursuant to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not to exceed (as of the date any such Restricted Payment is made) the greater of (i) $27,000,000 and (ii) 25% of Consolidated EBITDA of the Borrower for the most recently ended Test Period (calculated on a pro forma basis) (the “</w:t>
      </w:r>
      <w:r>
        <w:rPr>
          <w:rFonts w:ascii="Times New Roman" w:cs="Times New Roman" w:eastAsia="Times New Roman" w:hAnsi="Times New Roman"/>
          <w:sz w:val="20"/>
          <w:szCs w:val="20"/>
          <w:b w:val="1"/>
          <w:bCs w:val="1"/>
          <w:color w:val="auto"/>
        </w:rPr>
        <w:t>General Restricted 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Basket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utilized to make a Restricted Investment, the amount deemed to be utilized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will be the amount of such Restricted Investment at any time outstanding (with the fair market value of such Investment being measured at the time made and without giving effect to subsequent changes in value, but subject to adjustment as set forth in the definition of “Investment”);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however, that this clause (j) shall not be used to make Restricted Payments in respect of Disqualified Stock or Preferred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as of the date of the making of such Restricted Payment, no Event of Default will have occurred and be continuing or would occur as a consequence thereof;</w:t>
      </w:r>
    </w:p>
    <w:p>
      <w:pPr>
        <w:spacing w:after="0" w:line="185" w:lineRule="exact"/>
        <w:rPr>
          <w:rFonts w:ascii="Times New Roman" w:cs="Times New Roman" w:eastAsia="Times New Roman" w:hAnsi="Times New Roman"/>
          <w:sz w:val="20"/>
          <w:szCs w:val="20"/>
          <w:color w:val="auto"/>
        </w:rPr>
      </w:pPr>
    </w:p>
    <w:p>
      <w:pPr>
        <w:ind w:left="2200" w:hanging="400"/>
        <w:spacing w:after="0"/>
        <w:tabs>
          <w:tab w:leader="none" w:pos="2200"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or payments of Securitization Fees;</w:t>
      </w:r>
    </w:p>
    <w:p>
      <w:pPr>
        <w:spacing w:after="0" w:line="215" w:lineRule="exact"/>
        <w:rPr>
          <w:rFonts w:ascii="Times New Roman" w:cs="Times New Roman" w:eastAsia="Times New Roman" w:hAnsi="Times New Roman"/>
          <w:sz w:val="20"/>
          <w:szCs w:val="20"/>
          <w:color w:val="auto"/>
        </w:rPr>
      </w:pPr>
    </w:p>
    <w:p>
      <w:pPr>
        <w:ind w:left="2200" w:hanging="400"/>
        <w:spacing w:after="0"/>
        <w:tabs>
          <w:tab w:leader="none" w:pos="2200"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630555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13" w:right="419" w:bottom="1440" w:gutter="0" w:footer="0" w:header="0"/>
        </w:sectPr>
      </w:pPr>
    </w:p>
    <w:bookmarkStart w:id="314" w:name="page315"/>
    <w:bookmarkEnd w:id="314"/>
    <w:p>
      <w:pPr>
        <w:ind w:left="-20" w:right="420" w:firstLine="1880"/>
        <w:spacing w:after="0" w:line="269" w:lineRule="auto"/>
        <w:tabs>
          <w:tab w:leader="none" w:pos="2248"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repurchase, redemption, defeasance, acquisition or retirement for value of any Junior Indebtedness from Excluded Proceeds (except to the extent utilized to make Restricted Payments pursuant to </w:t>
      </w:r>
      <w:r>
        <w:rPr>
          <w:rFonts w:ascii="Times New Roman" w:cs="Times New Roman" w:eastAsia="Times New Roman" w:hAnsi="Times New Roman"/>
          <w:sz w:val="20"/>
          <w:szCs w:val="20"/>
          <w:u w:val="single" w:color="auto"/>
          <w:color w:val="auto"/>
        </w:rPr>
        <w:t>Section 7.05(b)(vi)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20" w:right="20" w:firstLine="1880"/>
        <w:spacing w:after="0" w:line="254" w:lineRule="auto"/>
        <w:tabs>
          <w:tab w:leader="none" w:pos="2248"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dividends or distributions by the Borrower or any Restricted Subsidiary to, or the making of loans or advances to, the Borrower or any Parent Company in amounts required for any Parent Company to pay in each case without duplication:</w:t>
      </w:r>
    </w:p>
    <w:p>
      <w:pPr>
        <w:spacing w:after="0" w:line="174"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franchise, excise and similar Taxes and other fees and expenses, required to maintain their corporate or other legal</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existence;</w:t>
      </w:r>
    </w:p>
    <w:p>
      <w:pPr>
        <w:spacing w:after="0" w:line="193" w:lineRule="exact"/>
        <w:rPr>
          <w:rFonts w:ascii="Times New Roman" w:cs="Times New Roman" w:eastAsia="Times New Roman" w:hAnsi="Times New Roman"/>
          <w:sz w:val="20"/>
          <w:szCs w:val="20"/>
          <w:color w:val="auto"/>
        </w:rPr>
      </w:pPr>
    </w:p>
    <w:p>
      <w:pPr>
        <w:ind w:left="740" w:right="20" w:firstLine="745"/>
        <w:spacing w:after="0" w:line="263" w:lineRule="auto"/>
        <w:tabs>
          <w:tab w:leader="none" w:pos="1884"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taxable period (or portion thereof) for which the Borrower or any of its subsidiaries are members of a consolidated, combined, unitary or similar Tax group for U.S. federal or applicable foreign, state or local tax purposes of which a Parent Company is the common parent (or the income and activities of Borrower are included in the calculation of taxable income of a Parent Company) (a “</w:t>
      </w:r>
      <w:r>
        <w:rPr>
          <w:rFonts w:ascii="Times New Roman" w:cs="Times New Roman" w:eastAsia="Times New Roman" w:hAnsi="Times New Roman"/>
          <w:sz w:val="19"/>
          <w:szCs w:val="19"/>
          <w:b w:val="1"/>
          <w:bCs w:val="1"/>
          <w:color w:val="auto"/>
        </w:rPr>
        <w:t>Tax Group</w:t>
      </w:r>
      <w:r>
        <w:rPr>
          <w:rFonts w:ascii="Times New Roman" w:cs="Times New Roman" w:eastAsia="Times New Roman" w:hAnsi="Times New Roman"/>
          <w:sz w:val="19"/>
          <w:szCs w:val="19"/>
          <w:color w:val="auto"/>
        </w:rPr>
        <w:t>”), to pay the portion of any U.S. federal, foreign, state or local Taxes (as applicable) of such Tax Group for such taxable period that are attributable to the income of the Borrower and/or its applicable subsidiaries;</w:t>
      </w:r>
    </w:p>
    <w:p>
      <w:pPr>
        <w:spacing w:after="0" w:line="166" w:lineRule="exact"/>
        <w:rPr>
          <w:rFonts w:ascii="Times New Roman" w:cs="Times New Roman" w:eastAsia="Times New Roman" w:hAnsi="Times New Roman"/>
          <w:sz w:val="19"/>
          <w:szCs w:val="19"/>
          <w:color w:val="auto"/>
        </w:rPr>
      </w:pPr>
    </w:p>
    <w:p>
      <w:pPr>
        <w:ind w:left="740" w:firstLine="745"/>
        <w:spacing w:after="0" w:line="254" w:lineRule="auto"/>
        <w:tabs>
          <w:tab w:leader="none" w:pos="1884"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salary, bonus, severance and other benefits payable to, and indemnities provided on behalf of, employees, directors, officers, members of management, consultants and independent contractors of any Parent Company, and any payroll, social security or similar Taxes thereof;</w:t>
      </w:r>
    </w:p>
    <w:p>
      <w:pPr>
        <w:spacing w:after="0" w:line="174" w:lineRule="exact"/>
        <w:rPr>
          <w:rFonts w:ascii="Times New Roman" w:cs="Times New Roman" w:eastAsia="Times New Roman" w:hAnsi="Times New Roman"/>
          <w:sz w:val="20"/>
          <w:szCs w:val="20"/>
          <w:color w:val="auto"/>
        </w:rPr>
      </w:pPr>
    </w:p>
    <w:p>
      <w:pPr>
        <w:ind w:left="740" w:right="720" w:firstLine="745"/>
        <w:spacing w:after="0" w:line="269" w:lineRule="auto"/>
        <w:tabs>
          <w:tab w:leader="none" w:pos="1884"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corporate or other operating, administrative, compliance and overhead costs and expenses (including expenses relating to auditing and other accounting matters) of any Parent Company;</w:t>
      </w:r>
    </w:p>
    <w:p>
      <w:pPr>
        <w:spacing w:after="0" w:line="159" w:lineRule="exact"/>
        <w:rPr>
          <w:rFonts w:ascii="Times New Roman" w:cs="Times New Roman" w:eastAsia="Times New Roman" w:hAnsi="Times New Roman"/>
          <w:sz w:val="20"/>
          <w:szCs w:val="20"/>
          <w:color w:val="auto"/>
        </w:rPr>
      </w:pPr>
    </w:p>
    <w:p>
      <w:pPr>
        <w:ind w:left="740" w:right="40" w:firstLine="745"/>
        <w:spacing w:after="0" w:line="269" w:lineRule="auto"/>
        <w:tabs>
          <w:tab w:leader="none" w:pos="1884"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and expenses (including ongoing compliance costs and listing expenses) related to any equity or debt offering of a Parent Company (whether or not consummated);</w:t>
      </w:r>
    </w:p>
    <w:p>
      <w:pPr>
        <w:spacing w:after="0" w:line="159"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that would be permitted to be paid directly by the Borrower or its Restricted Subsidiaries under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auto"/>
        </w:rPr>
        <w:t>6.15(2)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thereof);</w:t>
      </w:r>
    </w:p>
    <w:p>
      <w:pPr>
        <w:spacing w:after="0" w:line="194" w:lineRule="exact"/>
        <w:rPr>
          <w:sz w:val="20"/>
          <w:szCs w:val="20"/>
          <w:color w:val="auto"/>
        </w:rPr>
      </w:pPr>
    </w:p>
    <w:p>
      <w:pPr>
        <w:ind w:left="1880" w:hanging="395"/>
        <w:spacing w:after="0"/>
        <w:tabs>
          <w:tab w:leader="none" w:pos="1880" w:val="left"/>
        </w:tabs>
        <w:numPr>
          <w:ilvl w:val="1"/>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740" w:right="140" w:firstLine="745"/>
        <w:spacing w:after="0" w:line="258" w:lineRule="auto"/>
        <w:tabs>
          <w:tab w:leader="none" w:pos="2280" w:val="left"/>
        </w:tabs>
        <w:numPr>
          <w:ilvl w:val="1"/>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finance Investments or other acquisitions or investments otherwise permitted to be made pursuant to this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 xml:space="preserve"> if made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such Restricted Payment must be made within 120 days of the closing of such Investment, acquisition or investment, (II) such Parent Company must, promptly following the closing thereof, cause (A) all property acquired (whether assets or Equity Interests) to be contributed to the capital of the Borrower or a Restricted Subsidiary or</w:t>
      </w:r>
    </w:p>
    <w:p>
      <w:pPr>
        <w:ind w:left="740" w:right="120" w:hanging="3"/>
        <w:spacing w:after="0" w:line="255" w:lineRule="auto"/>
        <w:tabs>
          <w:tab w:leader="none" w:pos="1053" w:val="left"/>
        </w:tabs>
        <w:numPr>
          <w:ilvl w:val="0"/>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merger, amalgamation, consolidation or sale of the Person formed or acquired into the Borrower or a Restricted Subsidiary (to the extent not prohibited by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in order to consummate such Investment, acquisition or investment, (III) such Parent Company and its Affiliates (other than the Borrower or any Restricted Subsidiary) receives no consideration or other payment in connection with such transaction except to the extent the Borrower or a Restricted Subsidiary could have given such consideration or made such payment in compliance with this Agreement, (IV) any property received by the Borrower may not increase amounts available for Restricted Payments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7.05(1)</w:t>
      </w:r>
      <w:r>
        <w:rPr>
          <w:rFonts w:ascii="Times New Roman" w:cs="Times New Roman" w:eastAsia="Times New Roman" w:hAnsi="Times New Roman"/>
          <w:sz w:val="19"/>
          <w:szCs w:val="19"/>
          <w:color w:val="auto"/>
        </w:rPr>
        <w:t>, and (V) to the extent constituting an Investment, such Investment will be deemed to be made by the Borrower or such Restricted Subsidiary pursuant to another provision of this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315" w:name="page316"/>
    <w:bookmarkEnd w:id="315"/>
    <w:p>
      <w:pPr>
        <w:ind w:left="760" w:right="52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7.05(2)</w:t>
      </w:r>
      <w:r>
        <w:rPr>
          <w:rFonts w:ascii="Times New Roman" w:cs="Times New Roman" w:eastAsia="Times New Roman" w:hAnsi="Times New Roman"/>
          <w:sz w:val="20"/>
          <w:szCs w:val="20"/>
          <w:color w:val="auto"/>
        </w:rPr>
        <w:t xml:space="preserve">) or pursuant to the definition of “Permitted Investments” (other than </w:t>
      </w:r>
      <w:r>
        <w:rPr>
          <w:rFonts w:ascii="Times New Roman" w:cs="Times New Roman" w:eastAsia="Times New Roman" w:hAnsi="Times New Roman"/>
          <w:sz w:val="20"/>
          <w:szCs w:val="20"/>
          <w:u w:val="single" w:color="auto"/>
          <w:color w:val="auto"/>
        </w:rPr>
        <w:t>clause (9)</w:t>
      </w:r>
      <w:r>
        <w:rPr>
          <w:rFonts w:ascii="Times New Roman" w:cs="Times New Roman" w:eastAsia="Times New Roman" w:hAnsi="Times New Roman"/>
          <w:sz w:val="20"/>
          <w:szCs w:val="20"/>
          <w:color w:val="auto"/>
        </w:rPr>
        <w:t xml:space="preserve"> thereof);</w:t>
      </w:r>
    </w:p>
    <w:p>
      <w:pPr>
        <w:spacing w:after="0" w:line="159" w:lineRule="exact"/>
        <w:rPr>
          <w:sz w:val="20"/>
          <w:szCs w:val="20"/>
          <w:color w:val="auto"/>
        </w:rPr>
      </w:pPr>
    </w:p>
    <w:p>
      <w:pPr>
        <w:ind w:right="40" w:firstLine="1880"/>
        <w:spacing w:after="0" w:line="249" w:lineRule="auto"/>
        <w:tabs>
          <w:tab w:leader="none" w:pos="2268"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distribution, by dividend or otherwise, or other transfer or disposition of shares of Capital Stock of, Equity Interests in, or Indebtedness owed to the Borrower or a Restricted Subsidiary by, Unrestricted Subsidiaries (other than Unrestricted Subsidiaries, all the assets of which are solely cash and Cash Equivalents (except to the extent that such cash and Cash Equivalents constitute the proceeds of any sale of the assets or equity of any Unrestricted Subsidiary));</w:t>
      </w:r>
    </w:p>
    <w:p>
      <w:pPr>
        <w:spacing w:after="0" w:line="179" w:lineRule="exact"/>
        <w:rPr>
          <w:rFonts w:ascii="Times New Roman" w:cs="Times New Roman" w:eastAsia="Times New Roman" w:hAnsi="Times New Roman"/>
          <w:sz w:val="20"/>
          <w:szCs w:val="20"/>
          <w:color w:val="auto"/>
        </w:rPr>
      </w:pPr>
    </w:p>
    <w:p>
      <w:pPr>
        <w:ind w:right="120" w:firstLine="1880"/>
        <w:spacing w:after="0" w:line="249" w:lineRule="auto"/>
        <w:tabs>
          <w:tab w:leader="none" w:pos="2268"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or loans, advances, dividends or distributions to any Parent Company to make payments, in lieu of issuing fractional shares in connection with share dividends, share splits, reverse share splits, mergers, consolidations, amalgamations or other business combinations and in connection with the exercise of warrants, options or other securities convertible into or exchangeable for Equity Interests of the Borrower, any Restricted Subsidiary or any Parent Company;</w:t>
      </w:r>
    </w:p>
    <w:p>
      <w:pPr>
        <w:spacing w:after="0" w:line="179" w:lineRule="exact"/>
        <w:rPr>
          <w:rFonts w:ascii="Times New Roman" w:cs="Times New Roman" w:eastAsia="Times New Roman" w:hAnsi="Times New Roman"/>
          <w:sz w:val="20"/>
          <w:szCs w:val="20"/>
          <w:color w:val="auto"/>
        </w:rPr>
      </w:pPr>
    </w:p>
    <w:p>
      <w:pPr>
        <w:ind w:right="100" w:firstLine="1880"/>
        <w:spacing w:after="0" w:line="244" w:lineRule="auto"/>
        <w:tabs>
          <w:tab w:leader="none" w:pos="2268"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Restricted Payments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thereof contained in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after giving pro forma effect thereto and the application of the net proceeds therefrom, (I) the Total Net Leverage Ratio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most recently ended Test Period calculated on a pro forma basis would be no greater than 1.25 to 1.00 and (II) no Event of Default will have occurred and be continuing or would occur as a consequence thereof and (ii) Restricted Payments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thereof contained in </w:t>
      </w:r>
      <w:r>
        <w:rPr>
          <w:rFonts w:ascii="Times New Roman" w:cs="Times New Roman" w:eastAsia="Times New Roman" w:hAnsi="Times New Roman"/>
          <w:sz w:val="20"/>
          <w:szCs w:val="20"/>
          <w:u w:val="single" w:color="auto"/>
          <w:color w:val="auto"/>
        </w:rPr>
        <w:t>Section 7.05(1)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after giving pro forma effect thereto and the application of the net proceeds therefrom, (I) the Total Net Leverage Ratio for the most recently ended Test Period calculated on a pro forma basis would be no greater than 1.50 to 1.00 and (II) no Event of Default will have occurred and be continuing or would occur as a consequence thereof;</w:t>
      </w:r>
    </w:p>
    <w:p>
      <w:pPr>
        <w:spacing w:after="0" w:line="185" w:lineRule="exact"/>
        <w:rPr>
          <w:rFonts w:ascii="Times New Roman" w:cs="Times New Roman" w:eastAsia="Times New Roman" w:hAnsi="Times New Roman"/>
          <w:sz w:val="20"/>
          <w:szCs w:val="20"/>
          <w:color w:val="auto"/>
        </w:rPr>
      </w:pPr>
    </w:p>
    <w:p>
      <w:pPr>
        <w:jc w:val="both"/>
        <w:ind w:right="220" w:firstLine="1880"/>
        <w:spacing w:after="0" w:line="264" w:lineRule="auto"/>
        <w:tabs>
          <w:tab w:leader="none" w:pos="2268" w:val="left"/>
        </w:tabs>
        <w:numPr>
          <w:ilvl w:val="1"/>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made for the benefit of the Borrower or any Restricted Subsidiary to the extent such payments could have been made by the Borrower or any Restricted Subsidiary because such payments (i) would not otherwise be Restricted Payments and</w:t>
      </w:r>
    </w:p>
    <w:p>
      <w:pPr>
        <w:ind w:left="300" w:hanging="292"/>
        <w:spacing w:after="0"/>
        <w:tabs>
          <w:tab w:leader="none" w:pos="300"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would be permitted by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right="220" w:firstLine="1880"/>
        <w:spacing w:after="0" w:line="274" w:lineRule="auto"/>
        <w:tabs>
          <w:tab w:leader="none" w:pos="2268" w:val="left"/>
        </w:tabs>
        <w:numPr>
          <w:ilvl w:val="1"/>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and distributions to dissenting stockholders of Restricted Subsidiaries pursuant to applicable law, pursuant to or in connection with a consolidation, amalgamation, merger or transfer of all or substantially all of the assets of any Restricted Subsidiary that complies with the terms of this Agreement or any other transaction that complies with the terms of this Agreement;</w:t>
      </w:r>
    </w:p>
    <w:p>
      <w:pPr>
        <w:spacing w:after="0" w:line="156" w:lineRule="exact"/>
        <w:rPr>
          <w:rFonts w:ascii="Times New Roman" w:cs="Times New Roman" w:eastAsia="Times New Roman" w:hAnsi="Times New Roman"/>
          <w:sz w:val="19"/>
          <w:szCs w:val="19"/>
          <w:color w:val="auto"/>
        </w:rPr>
      </w:pPr>
    </w:p>
    <w:p>
      <w:pPr>
        <w:ind w:right="100" w:firstLine="1880"/>
        <w:spacing w:after="0" w:line="244" w:lineRule="auto"/>
        <w:tabs>
          <w:tab w:leader="none" w:pos="2268"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dividends, other distributions and other amounts by the Borrower to, or the making of loans to, any Parent Company in the amount required for such parent to, if applicable, pay amounts equal to amounts required for any Parent Company, if applicable, to pay interest, principal or other payments (including AHYDO Payments) on Indebtedness, the proceeds of which have been permanently contributed to the Borrower or any Restricted Subsidiary and that has been guaranteed by, or is otherwise considered Indebtedness of, the Borrower or any Restricted Subsidiary incurred in accordance with this Agreement; provided that the aggregate amount of such dividends, distributions, loans and other amounts shall not exceed the amount of cash actually contributed to the Borrower for the incurrence of such Indebtedness;</w:t>
      </w:r>
    </w:p>
    <w:p>
      <w:pPr>
        <w:spacing w:after="0" w:line="185" w:lineRule="exact"/>
        <w:rPr>
          <w:rFonts w:ascii="Times New Roman" w:cs="Times New Roman" w:eastAsia="Times New Roman" w:hAnsi="Times New Roman"/>
          <w:sz w:val="20"/>
          <w:szCs w:val="20"/>
          <w:color w:val="auto"/>
        </w:rPr>
      </w:pPr>
    </w:p>
    <w:p>
      <w:pPr>
        <w:jc w:val="both"/>
        <w:ind w:firstLine="1880"/>
        <w:spacing w:after="0" w:line="249" w:lineRule="auto"/>
        <w:tabs>
          <w:tab w:leader="none" w:pos="2268"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of cash payments in connection with any conversion of Convertible Indebtedness of the Borrower or any Restricted Subsidiary in an aggregate amount since the date of this Agreement not to exceed the sum of (a) the principal amount of such Convertible Indebtedness plus (b) any payments received by the Borrower or any Restricted Subsidiary pursuant to the exercise, settlement or termination of any related Permitted Bond Hedge Transaction;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6" w:name="page317"/>
    <w:bookmarkEnd w:id="316"/>
    <w:p>
      <w:pPr>
        <w:ind w:right="220" w:firstLine="1880"/>
        <w:spacing w:after="0" w:line="249" w:lineRule="auto"/>
        <w:tabs>
          <w:tab w:leader="none" w:pos="2268"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payments in connection with (i) a Permitted Bond Hedge Transaction and (ii) the settlement of any related Permitted Warrant Transaction (I) by delivery of shares of the Borrower’s common equity upon settlement thereof or (II) by (A) set-off against the related Permitted Bond Hedge Transaction or (B) payment of an early termination amount thereof in common equity upon any early termination thereof; and</w:t>
      </w:r>
    </w:p>
    <w:p>
      <w:pPr>
        <w:spacing w:after="0" w:line="179" w:lineRule="exact"/>
        <w:rPr>
          <w:rFonts w:ascii="Times New Roman" w:cs="Times New Roman" w:eastAsia="Times New Roman" w:hAnsi="Times New Roman"/>
          <w:sz w:val="20"/>
          <w:szCs w:val="20"/>
          <w:color w:val="auto"/>
        </w:rPr>
      </w:pPr>
    </w:p>
    <w:p>
      <w:pPr>
        <w:ind w:right="640" w:firstLine="1880"/>
        <w:spacing w:after="0" w:line="269" w:lineRule="auto"/>
        <w:tabs>
          <w:tab w:leader="none" w:pos="2268"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of any Junior Indebtedness with the Net Proceeds of, or in exchange for, any Refinancing Indebtedness of such Junior Indebtedness.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clauses (g)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above, Taxes will include all interest and penalties with respect thereto and all additions thereto.</w:t>
      </w:r>
    </w:p>
    <w:p>
      <w:pPr>
        <w:spacing w:after="0" w:line="216"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20"/>
          <w:szCs w:val="20"/>
          <w:color w:val="auto"/>
        </w:rPr>
        <w:t>The amount of all Restricted Payments (other than cash) will be the fair market value on the date the Restricted Payment is made, or at the Borrower’s election, the date a commitment is made to make such Restricted Payment, of the assets or securities proposed to be transferred or issued by the Borrower or any Restricted Subsidiary, as the case may be, pursuant to the Restricted Payment.</w:t>
      </w:r>
    </w:p>
    <w:p>
      <w:pPr>
        <w:spacing w:after="0" w:line="174" w:lineRule="exact"/>
        <w:rPr>
          <w:sz w:val="20"/>
          <w:szCs w:val="20"/>
          <w:color w:val="auto"/>
        </w:rPr>
      </w:pPr>
    </w:p>
    <w:p>
      <w:pPr>
        <w:ind w:right="340" w:firstLine="1497"/>
        <w:spacing w:after="0" w:line="295" w:lineRule="auto"/>
        <w:rPr>
          <w:sz w:val="20"/>
          <w:szCs w:val="20"/>
          <w:color w:val="auto"/>
        </w:rPr>
      </w:pPr>
      <w:r>
        <w:rPr>
          <w:rFonts w:ascii="Times New Roman" w:cs="Times New Roman" w:eastAsia="Times New Roman" w:hAnsi="Times New Roman"/>
          <w:sz w:val="19"/>
          <w:szCs w:val="19"/>
          <w:color w:val="auto"/>
        </w:rPr>
        <w:t xml:space="preserve">For the avoidance of doubt, this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 xml:space="preserve"> will not restrict the making of any AHYDO Payment with respect to, and required by the terms of, any Indebtedness of the Borrower or any Restricted Subsidiary permitted to be incurred under this Agreement.</w:t>
      </w:r>
    </w:p>
    <w:p>
      <w:pPr>
        <w:spacing w:after="0" w:line="138"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0"/>
          <w:szCs w:val="20"/>
          <w:color w:val="auto"/>
        </w:rPr>
        <w:t>SECTION 7.06 Change in Nature of Business. The Borrower shall not, nor shall the Borrower permit any Restricted Subsidiary to, engage in any material line of business substantially different from those lines of business conducted by the Borrower and its Restricted Subsidiaries on the Closing Date or any business(es) or any other activities that are reasonably similar, ancillary, incidental, complementary or related to, or a reasonable extension, development or expansion of, the business conducted or proposed to be conducted by the Borrower and its Restricted Subsidiaries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-613410</wp:posOffset>
            </wp:positionV>
            <wp:extent cx="100520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2">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65"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7.07</w:t>
      </w:r>
      <w:r>
        <w:rPr>
          <w:sz w:val="20"/>
          <w:szCs w:val="20"/>
          <w:color w:val="auto"/>
        </w:rPr>
        <w:tab/>
      </w:r>
      <w:r>
        <w:rPr>
          <w:rFonts w:ascii="Times New Roman" w:cs="Times New Roman" w:eastAsia="Times New Roman" w:hAnsi="Times New Roman"/>
          <w:sz w:val="19"/>
          <w:szCs w:val="19"/>
          <w:color w:val="auto"/>
        </w:rPr>
        <w:t>Burdensome Agreements.</w:t>
      </w:r>
    </w:p>
    <w:p>
      <w:pPr>
        <w:spacing w:after="0" w:line="216" w:lineRule="exact"/>
        <w:rPr>
          <w:sz w:val="20"/>
          <w:szCs w:val="20"/>
          <w:color w:val="auto"/>
        </w:rPr>
      </w:pPr>
    </w:p>
    <w:p>
      <w:pPr>
        <w:ind w:right="100" w:firstLine="1505"/>
        <w:spacing w:after="0" w:line="249" w:lineRule="auto"/>
        <w:tabs>
          <w:tab w:leader="none" w:pos="1893"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 nor shall the Borrower permit any Restricted Subsidiary that is not a Guarantor (or, solely in the case of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that is a Subsidiary Guarantor) to, directly or indirectly, create or otherwise cause to exist or become effective any consensual encumbrance or consensual restriction (other than this Agreement or any other Loan Document) on the ability of any Restricted Subsidiary that is not a Guarantor (or, solely in the case of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that is a Subsidiary Guarantor) to:</w:t>
      </w:r>
    </w:p>
    <w:p>
      <w:pPr>
        <w:spacing w:after="0" w:line="179" w:lineRule="exact"/>
        <w:rPr>
          <w:rFonts w:ascii="Times New Roman" w:cs="Times New Roman" w:eastAsia="Times New Roman" w:hAnsi="Times New Roman"/>
          <w:sz w:val="20"/>
          <w:szCs w:val="20"/>
          <w:color w:val="auto"/>
        </w:rPr>
      </w:pPr>
    </w:p>
    <w:p>
      <w:pPr>
        <w:ind w:right="680" w:firstLine="1880"/>
        <w:spacing w:after="0" w:line="269" w:lineRule="auto"/>
        <w:tabs>
          <w:tab w:leader="none" w:pos="2268"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pay dividends or make any other distributions to the Borrower or any Restricted Subsidiary that is a Guarantor on its Capital Stock or with respect to any other interest or participation in, or measured by, its profits, or</w:t>
      </w:r>
    </w:p>
    <w:p>
      <w:pPr>
        <w:spacing w:after="0" w:line="15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2"/>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any Indebtedness owed to the Borrower or to any Restricted Subsidiary that is a Guarantor;</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loans or advances to the Borrower or to any Restricted Subsidiary that is a Guarantor;</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lease or transfer any of its properties or assets to the Borrower or to any Restricted Subsidiary that is a</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Guarantor; 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7" w:name="page318"/>
    <w:bookmarkEnd w:id="317"/>
    <w:p>
      <w:pPr>
        <w:ind w:right="280" w:firstLine="1880"/>
        <w:spacing w:after="0" w:line="266" w:lineRule="auto"/>
        <w:tabs>
          <w:tab w:leader="none" w:pos="2268" w:val="left"/>
        </w:tabs>
        <w:numPr>
          <w:ilvl w:val="0"/>
          <w:numId w:val="3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(i) any Subsidiary Guarantor (and, solely to the extent this </w:t>
      </w:r>
      <w:r>
        <w:rPr>
          <w:rFonts w:ascii="Times New Roman" w:cs="Times New Roman" w:eastAsia="Times New Roman" w:hAnsi="Times New Roman"/>
          <w:sz w:val="19"/>
          <w:szCs w:val="19"/>
          <w:u w:val="single" w:color="auto"/>
          <w:color w:val="auto"/>
        </w:rPr>
        <w:t>clause (d)(i)</w:t>
      </w:r>
      <w:r>
        <w:rPr>
          <w:rFonts w:ascii="Times New Roman" w:cs="Times New Roman" w:eastAsia="Times New Roman" w:hAnsi="Times New Roman"/>
          <w:sz w:val="19"/>
          <w:szCs w:val="19"/>
          <w:color w:val="auto"/>
        </w:rPr>
        <w:t xml:space="preserve"> relates to Hedging Obligations of Restricted Subsidiaries, the Borrower), Guaranty the Obligations or (ii) the Borrower or any Subsidiary Guarantor, create, incur or cause to exist or become effective Liens on property of such Person for the benefit of the Lenders with respect to the Obligations under the Loan Documents to the extent such Lien is required to be given to the Secured Parties pursuant to the Loan Documents;</w:t>
      </w:r>
    </w:p>
    <w:p>
      <w:pPr>
        <w:spacing w:after="0" w:line="161" w:lineRule="exact"/>
        <w:rPr>
          <w:sz w:val="20"/>
          <w:szCs w:val="20"/>
          <w:color w:val="auto"/>
        </w:rPr>
      </w:pPr>
    </w:p>
    <w:p>
      <w:pPr>
        <w:ind w:right="74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dividend or liquidation priority between or among classes or series of Capital Stock, and the subordination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(including the application of any remedy bars thereto) to any other obligation will not be deemed to constitute such an encumbrance or restriction.</w:t>
      </w:r>
    </w:p>
    <w:p>
      <w:pPr>
        <w:spacing w:after="0" w:line="173" w:lineRule="exact"/>
        <w:rPr>
          <w:sz w:val="20"/>
          <w:szCs w:val="20"/>
          <w:color w:val="auto"/>
        </w:rPr>
      </w:pPr>
    </w:p>
    <w:p>
      <w:pPr>
        <w:ind w:left="1900" w:hanging="395"/>
        <w:spacing w:after="0"/>
        <w:tabs>
          <w:tab w:leader="none" w:pos="190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7.07(1)</w:t>
      </w:r>
      <w:r>
        <w:rPr>
          <w:rFonts w:ascii="Times New Roman" w:cs="Times New Roman" w:eastAsia="Times New Roman" w:hAnsi="Times New Roman"/>
          <w:sz w:val="20"/>
          <w:szCs w:val="20"/>
          <w:color w:val="auto"/>
        </w:rPr>
        <w:t xml:space="preserve"> will not apply to any encumbrances or restrictions existing under or by reason of:</w:t>
      </w:r>
    </w:p>
    <w:p>
      <w:pPr>
        <w:spacing w:after="0" w:line="215" w:lineRule="exact"/>
        <w:rPr>
          <w:rFonts w:ascii="Times New Roman" w:cs="Times New Roman" w:eastAsia="Times New Roman" w:hAnsi="Times New Roman"/>
          <w:sz w:val="20"/>
          <w:szCs w:val="20"/>
          <w:color w:val="auto"/>
        </w:rPr>
      </w:pPr>
    </w:p>
    <w:p>
      <w:pPr>
        <w:ind w:right="140" w:firstLine="1880"/>
        <w:spacing w:after="0" w:line="269" w:lineRule="auto"/>
        <w:tabs>
          <w:tab w:leader="none" w:pos="2268"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encumbrances or restrictions in effect on the Closing Date, including pursuant to the Loan Documents and any Hedge Agreements, Hedging Obligations and the related documentation;</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encumbrances or restrictions pursuant to any Additional Letter of Credit Facility and the related documentation;</w:t>
      </w:r>
    </w:p>
    <w:p>
      <w:pPr>
        <w:spacing w:after="0" w:line="227" w:lineRule="exact"/>
        <w:rPr>
          <w:rFonts w:ascii="Times New Roman" w:cs="Times New Roman" w:eastAsia="Times New Roman" w:hAnsi="Times New Roman"/>
          <w:sz w:val="19"/>
          <w:szCs w:val="19"/>
          <w:color w:val="auto"/>
        </w:rPr>
      </w:pPr>
    </w:p>
    <w:p>
      <w:pPr>
        <w:ind w:right="60" w:firstLine="1880"/>
        <w:spacing w:after="0" w:line="269" w:lineRule="auto"/>
        <w:tabs>
          <w:tab w:leader="none" w:pos="2268"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Money Obligations and Capitalized Lease Obligations that impose restrictions of the nature discussed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(d)(ii)</w:t>
      </w:r>
      <w:r>
        <w:rPr>
          <w:rFonts w:ascii="Times New Roman" w:cs="Times New Roman" w:eastAsia="Times New Roman" w:hAnsi="Times New Roman"/>
          <w:sz w:val="20"/>
          <w:szCs w:val="20"/>
          <w:color w:val="auto"/>
        </w:rPr>
        <w:t xml:space="preserve"> above on the property so acquired;</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Law or any applicable rule, regulation or order;</w:t>
      </w:r>
    </w:p>
    <w:p>
      <w:pPr>
        <w:spacing w:after="0" w:line="215" w:lineRule="exact"/>
        <w:rPr>
          <w:rFonts w:ascii="Times New Roman" w:cs="Times New Roman" w:eastAsia="Times New Roman" w:hAnsi="Times New Roman"/>
          <w:sz w:val="20"/>
          <w:szCs w:val="20"/>
          <w:color w:val="auto"/>
        </w:rPr>
      </w:pPr>
    </w:p>
    <w:p>
      <w:pPr>
        <w:ind w:firstLine="1880"/>
        <w:spacing w:after="0" w:line="243" w:lineRule="auto"/>
        <w:tabs>
          <w:tab w:leader="none" w:pos="2268"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other instrument of a Person, or relating to Indebtedness or Equity Interests of a Person, acquired by or merged, amalgamated or consolidated with and into the Borrower or any Restricted Subsidiary or an Unrestricted Subsidiary that is designated as a Restricted Subsidiary, or any other transaction entered into in connection with any such acquisition, merger, consolidation or amalgamation in existence at the time of such acquisition or at the time it merges, amalgamates or consolidates with or into the Borrower or any Restricted Subsidiary or an Unrestricted Subsidiary that is designated as a Restricted Subsidiary or assumed in connection with the acquisition of assets from such Person (but, in any such case, not created in contemplation thereof), which encumbrance or restriction is not applicable to any Person, or the properties or assets of any Person, other than the Person so acquired or designated and its Subsidiaries, or the property or assets of the Person so acquired or designated and its Subsidiaries or the property or assets so acquired or designated;</w:t>
      </w:r>
    </w:p>
    <w:p>
      <w:pPr>
        <w:spacing w:after="0" w:line="185" w:lineRule="exact"/>
        <w:rPr>
          <w:rFonts w:ascii="Times New Roman" w:cs="Times New Roman" w:eastAsia="Times New Roman" w:hAnsi="Times New Roman"/>
          <w:sz w:val="20"/>
          <w:szCs w:val="20"/>
          <w:color w:val="auto"/>
        </w:rPr>
      </w:pPr>
    </w:p>
    <w:p>
      <w:pPr>
        <w:ind w:right="420" w:firstLine="1880"/>
        <w:spacing w:after="0" w:line="254" w:lineRule="auto"/>
        <w:tabs>
          <w:tab w:leader="none" w:pos="2268"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contracts or agreements for the sale or disposition of assets, including any restrictions with respect to a Subsidiary of the Borrower pursuant to an agreement that has been entered into for the sale or disposition of any of the Capital Stock or assets of such Subsidiary;</w:t>
      </w:r>
    </w:p>
    <w:p>
      <w:pPr>
        <w:spacing w:after="0" w:line="174" w:lineRule="exact"/>
        <w:rPr>
          <w:rFonts w:ascii="Times New Roman" w:cs="Times New Roman" w:eastAsia="Times New Roman" w:hAnsi="Times New Roman"/>
          <w:sz w:val="20"/>
          <w:szCs w:val="20"/>
          <w:color w:val="auto"/>
        </w:rPr>
      </w:pPr>
    </w:p>
    <w:p>
      <w:pPr>
        <w:jc w:val="both"/>
        <w:ind w:right="360" w:firstLine="1880"/>
        <w:spacing w:after="0" w:line="254" w:lineRule="auto"/>
        <w:tabs>
          <w:tab w:leader="none" w:pos="2268"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on cash or other deposits or net worth imposed by customers under contracts entered into in the ordinary course of business or consistent with industry practice or arising in connection with any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any applicable Intercreditor Agreement;</w:t>
      </w:r>
    </w:p>
    <w:p>
      <w:pPr>
        <w:spacing w:after="0" w:line="174" w:lineRule="exact"/>
        <w:rPr>
          <w:rFonts w:ascii="Times New Roman" w:cs="Times New Roman" w:eastAsia="Times New Roman" w:hAnsi="Times New Roman"/>
          <w:sz w:val="20"/>
          <w:szCs w:val="20"/>
          <w:color w:val="auto"/>
        </w:rPr>
      </w:pPr>
    </w:p>
    <w:p>
      <w:pPr>
        <w:ind w:right="820" w:firstLine="1880"/>
        <w:spacing w:after="0" w:line="269" w:lineRule="auto"/>
        <w:tabs>
          <w:tab w:leader="none" w:pos="2268"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provisions in agreements governing Indebtedness, Disqualified Stock or Preferred Stock of Restricted Subsidiaries that are not Guarantors permitted to be incurred subsequent to the Closing Date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318" w:name="page319"/>
    <w:bookmarkEnd w:id="318"/>
    <w:p>
      <w:pPr>
        <w:ind w:left="-40" w:right="600" w:firstLine="1880"/>
        <w:spacing w:after="0" w:line="295" w:lineRule="auto"/>
        <w:tabs>
          <w:tab w:leader="none" w:pos="2228" w:val="left"/>
        </w:tabs>
        <w:numPr>
          <w:ilvl w:val="0"/>
          <w:numId w:val="4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in joint venture agreements and other similar agreements (including equity holder agreements) relating to such joint venture or its members or entered into in the ordinary course of business or consistent with industry practice;</w:t>
      </w:r>
    </w:p>
    <w:p>
      <w:pPr>
        <w:spacing w:after="0" w:line="137" w:lineRule="exact"/>
        <w:rPr>
          <w:rFonts w:ascii="Times New Roman" w:cs="Times New Roman" w:eastAsia="Times New Roman" w:hAnsi="Times New Roman"/>
          <w:sz w:val="19"/>
          <w:szCs w:val="19"/>
          <w:color w:val="auto"/>
        </w:rPr>
      </w:pPr>
    </w:p>
    <w:p>
      <w:pPr>
        <w:ind w:left="-40" w:right="840" w:firstLine="1880"/>
        <w:spacing w:after="0" w:line="269" w:lineRule="auto"/>
        <w:tabs>
          <w:tab w:leader="none" w:pos="2228"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contained in leases, sub-leases, licenses, sub-licenses, Equity Interests or similar agreements, including with respect to IP Rights and other agreements;</w:t>
      </w:r>
    </w:p>
    <w:p>
      <w:pPr>
        <w:spacing w:after="0" w:line="159" w:lineRule="exact"/>
        <w:rPr>
          <w:rFonts w:ascii="Times New Roman" w:cs="Times New Roman" w:eastAsia="Times New Roman" w:hAnsi="Times New Roman"/>
          <w:sz w:val="20"/>
          <w:szCs w:val="20"/>
          <w:color w:val="auto"/>
        </w:rPr>
      </w:pPr>
    </w:p>
    <w:p>
      <w:pPr>
        <w:ind w:left="-40" w:right="740" w:firstLine="1880"/>
        <w:spacing w:after="0" w:line="254" w:lineRule="auto"/>
        <w:tabs>
          <w:tab w:leader="none" w:pos="2228"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created in connection with any Qualified Securitization Facility or Receivables Financing Transaction that, in the good faith determination of the Board of Directors of the Borrower, are necessary or advisable to effect such Qualified Securitization Facility or Receivables Financing Transaction;</w:t>
      </w:r>
    </w:p>
    <w:p>
      <w:pPr>
        <w:spacing w:after="0" w:line="174" w:lineRule="exact"/>
        <w:rPr>
          <w:rFonts w:ascii="Times New Roman" w:cs="Times New Roman" w:eastAsia="Times New Roman" w:hAnsi="Times New Roman"/>
          <w:sz w:val="20"/>
          <w:szCs w:val="20"/>
          <w:color w:val="auto"/>
        </w:rPr>
      </w:pPr>
    </w:p>
    <w:p>
      <w:pPr>
        <w:ind w:left="-40" w:right="20" w:firstLine="1880"/>
        <w:spacing w:after="0" w:line="263" w:lineRule="auto"/>
        <w:tabs>
          <w:tab w:leader="none" w:pos="2228" w:val="left"/>
        </w:tabs>
        <w:numPr>
          <w:ilvl w:val="0"/>
          <w:numId w:val="4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or conditions contained in any trading, netting, operating, construction, service, supply, purchase, sale or other agreement to which the Borrower or any Restricted Subsidiary is a party entered into in the ordinary course of business or consistent with industry practice; provided that such agreement prohibits the encumbrance of solely the property or assets of the Borrower or such Restricted Subsidiary that are subject to such agreement, the payment rights arising thereunder or the proceeds thereof and does not extend to any other asset or property of the Borrower or such Restricted Subsidiary or the assets or property of another Restricted Subsidiary;</w:t>
      </w:r>
    </w:p>
    <w:p>
      <w:pPr>
        <w:spacing w:after="0" w:line="166" w:lineRule="exact"/>
        <w:rPr>
          <w:rFonts w:ascii="Times New Roman" w:cs="Times New Roman" w:eastAsia="Times New Roman" w:hAnsi="Times New Roman"/>
          <w:sz w:val="19"/>
          <w:szCs w:val="19"/>
          <w:color w:val="auto"/>
        </w:rPr>
      </w:pPr>
    </w:p>
    <w:p>
      <w:pPr>
        <w:ind w:left="-40" w:right="500" w:firstLine="1880"/>
        <w:spacing w:after="0" w:line="269" w:lineRule="auto"/>
        <w:tabs>
          <w:tab w:leader="none" w:pos="2228"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restricting subletting or assignment of any lease governing a leasehold interest of the Borrower or any Restricted Subsidiary;</w:t>
      </w:r>
    </w:p>
    <w:p>
      <w:pPr>
        <w:spacing w:after="0" w:line="159" w:lineRule="exact"/>
        <w:rPr>
          <w:rFonts w:ascii="Times New Roman" w:cs="Times New Roman" w:eastAsia="Times New Roman" w:hAnsi="Times New Roman"/>
          <w:sz w:val="20"/>
          <w:szCs w:val="20"/>
          <w:color w:val="auto"/>
        </w:rPr>
      </w:pPr>
    </w:p>
    <w:p>
      <w:pPr>
        <w:ind w:left="2240" w:hanging="400"/>
        <w:spacing w:after="0"/>
        <w:tabs>
          <w:tab w:leader="none" w:pos="2240"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restricting assignment of any agreement;</w:t>
      </w:r>
    </w:p>
    <w:p>
      <w:pPr>
        <w:spacing w:after="0" w:line="215" w:lineRule="exact"/>
        <w:rPr>
          <w:rFonts w:ascii="Times New Roman" w:cs="Times New Roman" w:eastAsia="Times New Roman" w:hAnsi="Times New Roman"/>
          <w:sz w:val="20"/>
          <w:szCs w:val="20"/>
          <w:color w:val="auto"/>
        </w:rPr>
      </w:pPr>
    </w:p>
    <w:p>
      <w:pPr>
        <w:ind w:left="2240" w:hanging="400"/>
        <w:spacing w:after="0"/>
        <w:tabs>
          <w:tab w:leader="none" w:pos="2240"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arising in connection with cash or other deposits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40" w:right="20" w:firstLine="1880"/>
        <w:spacing w:after="0" w:line="243" w:lineRule="auto"/>
        <w:tabs>
          <w:tab w:leader="none" w:pos="2228"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agreement or instrument governing any Indebtedness, Disqualified Stock or Preferred Stock permitted to be incurred or issued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entered into after the Closing Date that contains encumbrances and restrictions that either (i) are no more restrictive in any material respect, taken as a whole, with respect to the Borrower or any Restricted Subsidiary than (A) the restrictions contained in the Loan Documents as of the Closing Date or (B) those encumbrances and other restrictions that are in effect on the Closing Date with respect to the Borrower or that Restricted Subsidiary pursuant to agreements in effect on the Closing Date, (ii) are not materially more disadvantageous, taken as a whole, to the Lenders than is customary in comparable financings for similarly situated issuers or (iii) will not materially impair the Borrower’s ability to make payments on the Obligations when due, in each case in the good faith judgment of the Borrower;</w:t>
      </w:r>
    </w:p>
    <w:p>
      <w:pPr>
        <w:spacing w:after="0" w:line="189" w:lineRule="exact"/>
        <w:rPr>
          <w:rFonts w:ascii="Times New Roman" w:cs="Times New Roman" w:eastAsia="Times New Roman" w:hAnsi="Times New Roman"/>
          <w:sz w:val="20"/>
          <w:szCs w:val="20"/>
          <w:color w:val="auto"/>
        </w:rPr>
      </w:pPr>
    </w:p>
    <w:p>
      <w:pPr>
        <w:ind w:left="-40" w:firstLine="1880"/>
        <w:spacing w:after="0" w:line="254" w:lineRule="auto"/>
        <w:tabs>
          <w:tab w:leader="none" w:pos="2228"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under terms of Indebtedness and Liens in respect of Indebtedness permitted to be incurred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7.02(2)(d)</w:t>
      </w:r>
      <w:r>
        <w:rPr>
          <w:rFonts w:ascii="Times New Roman" w:cs="Times New Roman" w:eastAsia="Times New Roman" w:hAnsi="Times New Roman"/>
          <w:sz w:val="20"/>
          <w:szCs w:val="20"/>
          <w:color w:val="auto"/>
        </w:rPr>
        <w:t xml:space="preserve"> and any permitted refinancing in respect of the foregoing and (ii) agreements entered into in connection with any Sale-Leaseback Transaction entered into in the ordinary course of business or consistent with industry practice;</w:t>
      </w:r>
    </w:p>
    <w:p>
      <w:pPr>
        <w:spacing w:after="0" w:line="174" w:lineRule="exact"/>
        <w:rPr>
          <w:rFonts w:ascii="Times New Roman" w:cs="Times New Roman" w:eastAsia="Times New Roman" w:hAnsi="Times New Roman"/>
          <w:sz w:val="20"/>
          <w:szCs w:val="20"/>
          <w:color w:val="auto"/>
        </w:rPr>
      </w:pPr>
    </w:p>
    <w:p>
      <w:pPr>
        <w:ind w:left="-40" w:right="220" w:firstLine="1880"/>
        <w:spacing w:after="0" w:line="254" w:lineRule="auto"/>
        <w:tabs>
          <w:tab w:leader="none" w:pos="2228"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customary restrictions and conditions contained in documents relating to any Lien so long as (i) such Lien is a Permitted Lien and such restrictions or conditions relate only to the specific asset subject to such Lien and (ii) such restrictions and conditions are not created for the purpose of avoiding the restrictions imposed by this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40" w:right="540" w:firstLine="1880"/>
        <w:spacing w:after="0" w:line="269" w:lineRule="auto"/>
        <w:tabs>
          <w:tab w:leader="none" w:pos="2228"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 or restriction with respect to a Restricted Subsidiary that was previously an Unrestricted Subsidiary which encumbrance or restriction exists pursuant to or by reason of</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630555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13" w:right="359" w:bottom="1440" w:gutter="0" w:footer="0" w:header="0"/>
        </w:sectPr>
      </w:pPr>
    </w:p>
    <w:bookmarkStart w:id="319" w:name="page320"/>
    <w:bookmarkEnd w:id="319"/>
    <w:p>
      <w:pPr>
        <w:ind w:right="220"/>
        <w:spacing w:after="0" w:line="249" w:lineRule="auto"/>
        <w:rPr>
          <w:sz w:val="20"/>
          <w:szCs w:val="20"/>
          <w:color w:val="auto"/>
        </w:rPr>
      </w:pPr>
      <w:r>
        <w:rPr>
          <w:rFonts w:ascii="Times New Roman" w:cs="Times New Roman" w:eastAsia="Times New Roman" w:hAnsi="Times New Roman"/>
          <w:sz w:val="20"/>
          <w:szCs w:val="20"/>
          <w:color w:val="auto"/>
        </w:rPr>
        <w:t>an agreement that such Subsidiary is a party to or entered into before the date on which such Subsidiary became a Restricted Subsidiary; provided that such agreement was not entered into in anticipation of an Unrestricted Subsidiary becoming a Restricted Subsidiary and any such encumbrance or restriction does not extend to any assets or property of the Borrower or any other Restricted Subsidiary other than the assets and property of such Restricted Subsidiary;</w:t>
      </w:r>
    </w:p>
    <w:p>
      <w:pPr>
        <w:spacing w:after="0" w:line="180" w:lineRule="exact"/>
        <w:rPr>
          <w:sz w:val="20"/>
          <w:szCs w:val="20"/>
          <w:color w:val="auto"/>
        </w:rPr>
      </w:pPr>
    </w:p>
    <w:p>
      <w:pPr>
        <w:ind w:firstLine="1880"/>
        <w:spacing w:after="0" w:line="245" w:lineRule="auto"/>
        <w:tabs>
          <w:tab w:leader="none" w:pos="2268"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encumbrances or restrictions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above; provided that such amendments, modifications, restatements, renewals, increases, supplements, refundings, replacements or refinancings are, in the good faith judgment of the Borrower, no more restrictive in any material respect with respect to such encumbrance and other restrictions, taken as a whole, than those prior to such amendment, modification, restatement, renewal, increase, supplement, refunding, replacement or refinancing;</w:t>
      </w:r>
    </w:p>
    <w:p>
      <w:pPr>
        <w:spacing w:after="0" w:line="184" w:lineRule="exact"/>
        <w:rPr>
          <w:rFonts w:ascii="Times New Roman" w:cs="Times New Roman" w:eastAsia="Times New Roman" w:hAnsi="Times New Roman"/>
          <w:sz w:val="20"/>
          <w:szCs w:val="20"/>
          <w:color w:val="auto"/>
        </w:rPr>
      </w:pPr>
    </w:p>
    <w:p>
      <w:pPr>
        <w:ind w:right="200" w:firstLine="1880"/>
        <w:spacing w:after="0" w:line="249" w:lineRule="auto"/>
        <w:tabs>
          <w:tab w:leader="none" w:pos="2268"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 or restriction existing under, by reason of or with respect to Refinancing Indebtedness; provided that the encumbrances and restrictions contained in the agreements governing that Refinancing Indebtedness are, in the good faith judgment of the Borrower, not materially more restrictive, taken as a whole, than those contained in the agreements governing the Indebtedness being refinanced; and</w:t>
      </w:r>
    </w:p>
    <w:p>
      <w:pPr>
        <w:spacing w:after="0" w:line="179" w:lineRule="exact"/>
        <w:rPr>
          <w:rFonts w:ascii="Times New Roman" w:cs="Times New Roman" w:eastAsia="Times New Roman" w:hAnsi="Times New Roman"/>
          <w:sz w:val="20"/>
          <w:szCs w:val="20"/>
          <w:color w:val="auto"/>
        </w:rPr>
      </w:pPr>
    </w:p>
    <w:p>
      <w:pPr>
        <w:ind w:right="280" w:firstLine="1880"/>
        <w:spacing w:after="0" w:line="269" w:lineRule="auto"/>
        <w:tabs>
          <w:tab w:leader="none" w:pos="2268"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applicable law or any applicable rule, regulation or order in any jurisdiction where Indebtedness, Disqualified Stock or Preferred Stock of Foreign Subsidiaries permitted to be incurred or issued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is incurred.</w:t>
      </w:r>
    </w:p>
    <w:p>
      <w:pPr>
        <w:spacing w:after="0" w:line="159" w:lineRule="exact"/>
        <w:rPr>
          <w:sz w:val="20"/>
          <w:szCs w:val="20"/>
          <w:color w:val="auto"/>
        </w:rPr>
      </w:pPr>
    </w:p>
    <w:p>
      <w:pPr>
        <w:ind w:right="220" w:firstLine="1497"/>
        <w:spacing w:after="0" w:line="249" w:lineRule="auto"/>
        <w:rPr>
          <w:sz w:val="20"/>
          <w:szCs w:val="20"/>
          <w:color w:val="auto"/>
        </w:rPr>
      </w:pPr>
      <w:r>
        <w:rPr>
          <w:rFonts w:ascii="Times New Roman" w:cs="Times New Roman" w:eastAsia="Times New Roman" w:hAnsi="Times New Roman"/>
          <w:sz w:val="20"/>
          <w:szCs w:val="20"/>
          <w:color w:val="auto"/>
        </w:rPr>
        <w:t xml:space="preserve">SECTION 7.08 Accounting Changes. The Borrower shall not, nor shall the Borrower permit any Restricted Subsidiary to, make any change in fiscal year;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Borrower may, upon written notice to the Administrative Agent, change its fiscal year, and, notwithstanding anything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to the contrary, the Borrower and the Administrative Agent will, and are hereby authorized by the Lenders to, make any adjustments to this Agreement that are necessary to reflect such change in fiscal year.</w:t>
      </w:r>
    </w:p>
    <w:p>
      <w:pPr>
        <w:spacing w:after="0" w:line="176" w:lineRule="exact"/>
        <w:rPr>
          <w:sz w:val="20"/>
          <w:szCs w:val="20"/>
          <w:color w:val="auto"/>
        </w:rPr>
      </w:pPr>
    </w:p>
    <w:p>
      <w:pPr>
        <w:ind w:right="40" w:firstLine="1497"/>
        <w:spacing w:after="0" w:line="273" w:lineRule="auto"/>
        <w:rPr>
          <w:sz w:val="20"/>
          <w:szCs w:val="20"/>
          <w:color w:val="auto"/>
        </w:rPr>
      </w:pPr>
      <w:r>
        <w:rPr>
          <w:rFonts w:ascii="Times New Roman" w:cs="Times New Roman" w:eastAsia="Times New Roman" w:hAnsi="Times New Roman"/>
          <w:sz w:val="20"/>
          <w:szCs w:val="20"/>
          <w:color w:val="auto"/>
        </w:rPr>
        <w:t xml:space="preserve">SECTION 7.09 Holdings. Holdings shall not engage in any material operating or business activities;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following and any activities incidental thereto shall be permitted in any event:</w:t>
      </w:r>
    </w:p>
    <w:p>
      <w:pPr>
        <w:spacing w:after="0" w:line="156" w:lineRule="exact"/>
        <w:rPr>
          <w:sz w:val="20"/>
          <w:szCs w:val="20"/>
          <w:color w:val="auto"/>
        </w:rPr>
      </w:pPr>
    </w:p>
    <w:p>
      <w:pPr>
        <w:ind w:right="440" w:firstLine="1505"/>
        <w:spacing w:after="0" w:line="269" w:lineRule="auto"/>
        <w:tabs>
          <w:tab w:leader="none" w:pos="1893"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ownership of the Equity Interests of the Borrower, including receipt and payment of Restricted Payments and other amounts in respect of Equity Interests,</w:t>
      </w:r>
    </w:p>
    <w:p>
      <w:pPr>
        <w:spacing w:after="0" w:line="159" w:lineRule="exact"/>
        <w:rPr>
          <w:rFonts w:ascii="Times New Roman" w:cs="Times New Roman" w:eastAsia="Times New Roman" w:hAnsi="Times New Roman"/>
          <w:sz w:val="20"/>
          <w:szCs w:val="20"/>
          <w:color w:val="auto"/>
        </w:rPr>
      </w:pPr>
    </w:p>
    <w:p>
      <w:pPr>
        <w:ind w:right="200" w:firstLine="1505"/>
        <w:spacing w:after="0" w:line="269" w:lineRule="auto"/>
        <w:tabs>
          <w:tab w:leader="none" w:pos="1893"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maintenance of its legal existence (including the ability to incur and pay, as applicable, fees, costs and expenses and Taxes relating to such maintenance) and the payment of any tax distributions pursuant to </w:t>
      </w:r>
      <w:r>
        <w:rPr>
          <w:rFonts w:ascii="Times New Roman" w:cs="Times New Roman" w:eastAsia="Times New Roman" w:hAnsi="Times New Roman"/>
          <w:sz w:val="20"/>
          <w:szCs w:val="20"/>
          <w:u w:val="single" w:color="auto"/>
          <w:color w:val="auto"/>
        </w:rPr>
        <w:t>Section 7.05(2)(n)(ii)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320" w:firstLine="1505"/>
        <w:spacing w:after="0" w:line="269" w:lineRule="auto"/>
        <w:tabs>
          <w:tab w:leader="none" w:pos="1893"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its obligations with respect to the Transactions, the Loan Documents and any other documents governing Indebtedness permitted hereby,</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public offering of its common equity or any other issuance, registration or sale of its Equity Interests,</w:t>
      </w:r>
    </w:p>
    <w:p>
      <w:pPr>
        <w:spacing w:after="0" w:line="215" w:lineRule="exact"/>
        <w:rPr>
          <w:rFonts w:ascii="Times New Roman" w:cs="Times New Roman" w:eastAsia="Times New Roman" w:hAnsi="Times New Roman"/>
          <w:sz w:val="20"/>
          <w:szCs w:val="20"/>
          <w:color w:val="auto"/>
        </w:rPr>
      </w:pPr>
    </w:p>
    <w:p>
      <w:pPr>
        <w:ind w:right="360" w:firstLine="1505"/>
        <w:spacing w:after="0" w:line="269" w:lineRule="auto"/>
        <w:tabs>
          <w:tab w:leader="none" w:pos="1893"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 activities, including the issuance of securities, incurrence of debt, receipt and payment of dividends and distributions, making contributions to the capital of its Subsidiaries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20"/>
          <w:szCs w:val="20"/>
          <w:color w:val="auto"/>
        </w:rPr>
        <w:t>and any Affiliated Practices and guaranteeing the obligations of the Borrower and its other Subsidiaries or any Affiliated Practices,</w:t>
      </w:r>
    </w:p>
    <w:p>
      <w:pPr>
        <w:spacing w:after="0" w:line="216" w:lineRule="exact"/>
        <w:rPr>
          <w:sz w:val="20"/>
          <w:szCs w:val="20"/>
          <w:color w:val="auto"/>
        </w:rPr>
      </w:pPr>
    </w:p>
    <w:p>
      <w:pPr>
        <w:jc w:val="both"/>
        <w:ind w:right="200" w:firstLine="1505"/>
        <w:spacing w:after="0" w:line="254" w:lineRule="auto"/>
        <w:tabs>
          <w:tab w:leader="none" w:pos="1893"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participating in Tax, accounting and other administrative matters on behalf of itself or as a member of any Tax Group and the provision of administrative and advisory services (including treasury and insurance services) to its Subsidiaries of a type customarily provided by a holding company to its Subsidiaries,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 any cash or property (but not operate any property),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indemnification to officers and directors,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merging, amalgamating or consolidating with or into any Person, in each case done in compliance with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Indebtedness through open market purchases and Dutch auctions,</w:t>
      </w:r>
    </w:p>
    <w:p>
      <w:pPr>
        <w:spacing w:after="0" w:line="215" w:lineRule="exact"/>
        <w:rPr>
          <w:rFonts w:ascii="Times New Roman" w:cs="Times New Roman" w:eastAsia="Times New Roman" w:hAnsi="Times New Roman"/>
          <w:sz w:val="20"/>
          <w:szCs w:val="20"/>
          <w:color w:val="auto"/>
        </w:rPr>
      </w:pPr>
    </w:p>
    <w:p>
      <w:pPr>
        <w:ind w:right="120" w:firstLine="1505"/>
        <w:spacing w:after="0" w:line="254" w:lineRule="auto"/>
        <w:tabs>
          <w:tab w:leader="none" w:pos="1893"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activities incidental to Permitted Acquisitions or similar Investments consummated by the Borrower and the Restricted Subsidiaries, including the formation of acquisition vehicle entities and intercompany loans and/or Investments incidental to such Permitted Acquisitions or similar Investments,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with the Borrower and/or any Restricted Subsidiary to the extent expressly permitted under this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and</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activities incidental or reasonably related to the foregoing.</w:t>
      </w:r>
    </w:p>
    <w:p>
      <w:pPr>
        <w:spacing w:after="0" w:line="216"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7.10</w:t>
      </w:r>
      <w:r>
        <w:rPr>
          <w:sz w:val="20"/>
          <w:szCs w:val="20"/>
          <w:color w:val="auto"/>
        </w:rPr>
        <w:tab/>
      </w:r>
      <w:r>
        <w:rPr>
          <w:rFonts w:ascii="Times New Roman" w:cs="Times New Roman" w:eastAsia="Times New Roman" w:hAnsi="Times New Roman"/>
          <w:sz w:val="19"/>
          <w:szCs w:val="19"/>
          <w:color w:val="auto"/>
        </w:rPr>
        <w:t>Financial Covenants.</w:t>
      </w:r>
    </w:p>
    <w:p>
      <w:pPr>
        <w:spacing w:after="0" w:line="216" w:lineRule="exact"/>
        <w:rPr>
          <w:sz w:val="20"/>
          <w:szCs w:val="20"/>
          <w:color w:val="auto"/>
        </w:rPr>
      </w:pPr>
    </w:p>
    <w:p>
      <w:pPr>
        <w:ind w:right="160" w:firstLine="1505"/>
        <w:spacing w:after="0" w:line="249" w:lineRule="auto"/>
        <w:tabs>
          <w:tab w:leader="none" w:pos="1893"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 permit the Total Net Leverage Ratio as of the last day of any Test Period, commencing with the Test Period ending on or about March 31, 2025, to be greater than 4.50 to 1.00 (such compliance to be determined on the basis of the financial information most recently delivered to the Administrative Agent pursuant to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6.01(2)</w:t>
      </w:r>
      <w:r>
        <w:rPr>
          <w:rFonts w:ascii="Times New Roman" w:cs="Times New Roman" w:eastAsia="Times New Roman" w:hAnsi="Times New Roman"/>
          <w:sz w:val="20"/>
          <w:szCs w:val="20"/>
          <w:color w:val="auto"/>
        </w:rPr>
        <w:t xml:space="preserve"> for such Test Period) (the “</w:t>
      </w:r>
      <w:r>
        <w:rPr>
          <w:rFonts w:ascii="Times New Roman" w:cs="Times New Roman" w:eastAsia="Times New Roman" w:hAnsi="Times New Roman"/>
          <w:sz w:val="20"/>
          <w:szCs w:val="20"/>
          <w:b w:val="1"/>
          <w:bCs w:val="1"/>
          <w:color w:val="auto"/>
        </w:rPr>
        <w:t>Total Net Leverage Ratio Financial Covenant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right="20" w:firstLine="1505"/>
        <w:spacing w:after="0" w:line="246" w:lineRule="auto"/>
        <w:tabs>
          <w:tab w:leader="none" w:pos="1893"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 permit the Interest Coverage Ratio as of the last day of any Test Period, commencing with the Test Period ending on or about March 31, 2025, to be less than 3.00 to 1.00 (such compliance to be determined on the basis of the financial information most recently delivered to the Administrative Agent pursuant to </w:t>
      </w:r>
      <w:r>
        <w:rPr>
          <w:rFonts w:ascii="Times New Roman" w:cs="Times New Roman" w:eastAsia="Times New Roman" w:hAnsi="Times New Roman"/>
          <w:sz w:val="20"/>
          <w:szCs w:val="20"/>
          <w:u w:val="single" w:color="auto"/>
          <w:color w:val="auto"/>
        </w:rPr>
        <w:t>Section 6.01(1)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6.01(2)</w:t>
      </w:r>
      <w:r>
        <w:rPr>
          <w:rFonts w:ascii="Times New Roman" w:cs="Times New Roman" w:eastAsia="Times New Roman" w:hAnsi="Times New Roman"/>
          <w:sz w:val="20"/>
          <w:szCs w:val="20"/>
          <w:color w:val="auto"/>
        </w:rPr>
        <w:t xml:space="preserve"> for such Test Period) (the “</w:t>
      </w:r>
      <w:r>
        <w:rPr>
          <w:rFonts w:ascii="Times New Roman" w:cs="Times New Roman" w:eastAsia="Times New Roman" w:hAnsi="Times New Roman"/>
          <w:sz w:val="20"/>
          <w:szCs w:val="20"/>
          <w:b w:val="1"/>
          <w:bCs w:val="1"/>
          <w:color w:val="auto"/>
        </w:rPr>
        <w:t>Interest Coverage Ratio Financial Covenant</w:t>
      </w:r>
      <w:r>
        <w:rPr>
          <w:rFonts w:ascii="Times New Roman" w:cs="Times New Roman" w:eastAsia="Times New Roman" w:hAnsi="Times New Roman"/>
          <w:sz w:val="20"/>
          <w:szCs w:val="20"/>
          <w:color w:val="auto"/>
        </w:rPr>
        <w:t>” and, together with the Total Net Leverage Ratio Financial Covenant, collectively, the “</w:t>
      </w:r>
      <w:r>
        <w:rPr>
          <w:rFonts w:ascii="Times New Roman" w:cs="Times New Roman" w:eastAsia="Times New Roman" w:hAnsi="Times New Roman"/>
          <w:sz w:val="20"/>
          <w:szCs w:val="20"/>
          <w:b w:val="1"/>
          <w:bCs w:val="1"/>
          <w:color w:val="auto"/>
        </w:rPr>
        <w:t>Financial Covenants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SECTION 7.11 Amendments to Organizational Documents and Services Agreements. No Loan Party shall amend or waive any provision of (i) any Services Agreement, except to the extent any such amendment or waiver is required by a Change in Law as reasonably determined by the Borrower in good faith or (ii) its Organizational Documents, in each case, to the extent such amendment or waiver is material and adverse to the interest of the Lenders (in their capacity as such), taken as a whole.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1" w:name="page322"/>
    <w:bookmarkEnd w:id="321"/>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 and Remedies</w:t>
      </w:r>
    </w:p>
    <w:p>
      <w:pPr>
        <w:spacing w:after="0" w:line="220" w:lineRule="exact"/>
        <w:rPr>
          <w:sz w:val="20"/>
          <w:szCs w:val="20"/>
          <w:color w:val="auto"/>
        </w:rPr>
      </w:pPr>
    </w:p>
    <w:p>
      <w:pPr>
        <w:ind w:right="100" w:firstLine="1497"/>
        <w:spacing w:after="0" w:line="269" w:lineRule="auto"/>
        <w:rPr>
          <w:sz w:val="20"/>
          <w:szCs w:val="20"/>
          <w:color w:val="auto"/>
        </w:rPr>
      </w:pPr>
      <w:r>
        <w:rPr>
          <w:rFonts w:ascii="Times New Roman" w:cs="Times New Roman" w:eastAsia="Times New Roman" w:hAnsi="Times New Roman"/>
          <w:sz w:val="20"/>
          <w:szCs w:val="20"/>
          <w:color w:val="auto"/>
        </w:rPr>
        <w:t xml:space="preserve">SECTION 8.01 Events of Default. Each of the events referred to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shall constitute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100" w:firstLine="1505"/>
        <w:spacing w:after="0" w:line="254" w:lineRule="auto"/>
        <w:tabs>
          <w:tab w:leader="none" w:pos="1893"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Borrower fails to pay (a) when and as required to be paid herein, any amount of principal of any Loan or (b) within five (5) Business Days after the same becomes due, any interest on any Loan or any other amount payable hereunder or with respect to any other Loan Document; or</w:t>
      </w:r>
    </w:p>
    <w:p>
      <w:pPr>
        <w:spacing w:after="0" w:line="174" w:lineRule="exact"/>
        <w:rPr>
          <w:rFonts w:ascii="Times New Roman" w:cs="Times New Roman" w:eastAsia="Times New Roman" w:hAnsi="Times New Roman"/>
          <w:sz w:val="20"/>
          <w:szCs w:val="20"/>
          <w:color w:val="auto"/>
        </w:rPr>
      </w:pPr>
    </w:p>
    <w:p>
      <w:pPr>
        <w:ind w:right="80" w:firstLine="1505"/>
        <w:spacing w:after="0" w:line="249" w:lineRule="auto"/>
        <w:tabs>
          <w:tab w:leader="none" w:pos="1893"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The Borrower, any Subsidiary Guarantor or, in the case of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 xml:space="preserve">, Holdings, fails to perform or observe any term, covenant or agreement contained in </w:t>
      </w:r>
      <w:r>
        <w:rPr>
          <w:rFonts w:ascii="Times New Roman" w:cs="Times New Roman" w:eastAsia="Times New Roman" w:hAnsi="Times New Roman"/>
          <w:sz w:val="20"/>
          <w:szCs w:val="20"/>
          <w:u w:val="single" w:color="auto"/>
          <w:color w:val="auto"/>
        </w:rPr>
        <w:t>Section 6.03(1)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6.05(1)</w:t>
      </w:r>
      <w:r>
        <w:rPr>
          <w:rFonts w:ascii="Times New Roman" w:cs="Times New Roman" w:eastAsia="Times New Roman" w:hAnsi="Times New Roman"/>
          <w:sz w:val="20"/>
          <w:szCs w:val="20"/>
          <w:color w:val="auto"/>
        </w:rPr>
        <w:t xml:space="preserve"> (solely with respect to the Borrower, other than in a transaction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Borrower’s failure to comply with any Financial Covenant (a “</w:t>
      </w:r>
      <w:r>
        <w:rPr>
          <w:rFonts w:ascii="Times New Roman" w:cs="Times New Roman" w:eastAsia="Times New Roman" w:hAnsi="Times New Roman"/>
          <w:sz w:val="20"/>
          <w:szCs w:val="20"/>
          <w:b w:val="1"/>
          <w:bCs w:val="1"/>
          <w:color w:val="auto"/>
        </w:rPr>
        <w:t>Financial Covenant Event of Default</w:t>
      </w:r>
      <w:r>
        <w:rPr>
          <w:rFonts w:ascii="Times New Roman" w:cs="Times New Roman" w:eastAsia="Times New Roman" w:hAnsi="Times New Roman"/>
          <w:sz w:val="20"/>
          <w:szCs w:val="20"/>
          <w:color w:val="auto"/>
        </w:rPr>
        <w:t xml:space="preserve">”) is subject to cure pursuant to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or</w:t>
      </w:r>
    </w:p>
    <w:p>
      <w:pPr>
        <w:spacing w:after="0" w:line="179" w:lineRule="exact"/>
        <w:rPr>
          <w:rFonts w:ascii="Times New Roman" w:cs="Times New Roman" w:eastAsia="Times New Roman" w:hAnsi="Times New Roman"/>
          <w:sz w:val="20"/>
          <w:szCs w:val="20"/>
          <w:color w:val="auto"/>
        </w:rPr>
      </w:pPr>
    </w:p>
    <w:p>
      <w:pPr>
        <w:ind w:right="140" w:firstLine="1505"/>
        <w:spacing w:after="0" w:line="254" w:lineRule="auto"/>
        <w:tabs>
          <w:tab w:leader="none" w:pos="1893"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xml:space="preserve">. The Borrower or any Subsidiary Guarantor fails to perform or observe any other covenant or agreement (not specified in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contained in any Loan Document on its part to be performed or observed and such failure continues for thirty (30) days after receipt by the Borrower of written notice thereof from the Administrative Agent; or</w:t>
      </w:r>
    </w:p>
    <w:p>
      <w:pPr>
        <w:spacing w:after="0" w:line="174" w:lineRule="exact"/>
        <w:rPr>
          <w:rFonts w:ascii="Times New Roman" w:cs="Times New Roman" w:eastAsia="Times New Roman" w:hAnsi="Times New Roman"/>
          <w:sz w:val="20"/>
          <w:szCs w:val="20"/>
          <w:color w:val="auto"/>
        </w:rPr>
      </w:pPr>
    </w:p>
    <w:p>
      <w:pPr>
        <w:ind w:right="220" w:firstLine="1505"/>
        <w:spacing w:after="0" w:line="245" w:lineRule="auto"/>
        <w:tabs>
          <w:tab w:leader="none" w:pos="1893"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or certification made or deemed made by any Loan Party herein or in any other Loan Document, Committed Loan Notice or certificate of a Responsible Officer of the Borrower expressly required to be delivered hereunder shall be untrue in any material respect when made or deemed made and, for the failure of any representation, warranty or certification that is capable of being cured (as determined in good faith by the Borrower), such incorrect representation, warranty or certification shall remain incorrect for a period of thirty (30) days after the date on which written notice thereof shall have been given to the Borrower by the Administrative Agent; or</w:t>
      </w:r>
    </w:p>
    <w:p>
      <w:pPr>
        <w:spacing w:after="0" w:line="184" w:lineRule="exact"/>
        <w:rPr>
          <w:rFonts w:ascii="Times New Roman" w:cs="Times New Roman" w:eastAsia="Times New Roman" w:hAnsi="Times New Roman"/>
          <w:sz w:val="20"/>
          <w:szCs w:val="20"/>
          <w:color w:val="auto"/>
        </w:rPr>
      </w:pPr>
    </w:p>
    <w:p>
      <w:pPr>
        <w:ind w:firstLine="1505"/>
        <w:spacing w:after="0" w:line="255" w:lineRule="auto"/>
        <w:tabs>
          <w:tab w:leader="none" w:pos="1893" w:val="left"/>
        </w:tabs>
        <w:numPr>
          <w:ilvl w:val="0"/>
          <w:numId w:val="4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Cross-Default</w:t>
      </w:r>
      <w:r>
        <w:rPr>
          <w:rFonts w:ascii="Times New Roman" w:cs="Times New Roman" w:eastAsia="Times New Roman" w:hAnsi="Times New Roman"/>
          <w:sz w:val="19"/>
          <w:szCs w:val="19"/>
          <w:color w:val="auto"/>
        </w:rPr>
        <w:t xml:space="preserve">. The Borrower or any Restricted Subsidiary of the Borrower (a) fails to make any payment beyond the applicable grace period, if any, whether by scheduled maturity, required prepayment, acceleration, demand or otherwise, in respect of any Indebtedness (other than Indebtedness hereunder) having an aggregate outstanding principal amount (individually or in the aggregate with all other Indebtedness as to which such a failure shall exist) of not less than the Threshold Amount or (b) fails to observe or perform any other agreement or condition relating to any such Indebtedness, or any other event occurs (other than, with respect to Indebtedness consisting of Hedging Obligations, termination events or equivalent events pursuant to the terms of such Hedging Obligations and not as a result of any default thereunder by the Borrower or any Restricted Subsidiary of the Borrower), the effect of which default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all of such Indebtedness to be made, prior to its stated maturity;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any such failure under clauses (a) or (b) above (x) shall only constitute an Event of Default hereunder if such failure is unremedied and is not waived by the holders of such Indebtedness prior to any termination of the Commitments or acceleration of the Loans pursuant to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xml:space="preserve"> and (y) for the avoidance of doubt, shall not result in a Default or Event of Default hereunder while any notice period or grace period, if applicable to such failure remains in effect and (ii) this </w:t>
      </w:r>
      <w:r>
        <w:rPr>
          <w:rFonts w:ascii="Times New Roman" w:cs="Times New Roman" w:eastAsia="Times New Roman" w:hAnsi="Times New Roman"/>
          <w:sz w:val="19"/>
          <w:szCs w:val="19"/>
          <w:u w:val="single" w:color="auto"/>
          <w:color w:val="auto"/>
        </w:rPr>
        <w:t>clause (5)</w:t>
      </w:r>
      <w:r>
        <w:rPr>
          <w:rFonts w:ascii="Times New Roman" w:cs="Times New Roman" w:eastAsia="Times New Roman" w:hAnsi="Times New Roman"/>
          <w:sz w:val="19"/>
          <w:szCs w:val="19"/>
          <w:color w:val="auto"/>
        </w:rPr>
        <w:t xml:space="preserve"> shall not apply to secured Indebtedness</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322" w:name="page323"/>
    <w:bookmarkEnd w:id="322"/>
    <w:p>
      <w:pPr>
        <w:ind w:right="280"/>
        <w:spacing w:after="0" w:line="269" w:lineRule="auto"/>
        <w:rPr>
          <w:sz w:val="20"/>
          <w:szCs w:val="20"/>
          <w:color w:val="auto"/>
        </w:rPr>
      </w:pPr>
      <w:r>
        <w:rPr>
          <w:rFonts w:ascii="Times New Roman" w:cs="Times New Roman" w:eastAsia="Times New Roman" w:hAnsi="Times New Roman"/>
          <w:sz w:val="20"/>
          <w:szCs w:val="20"/>
          <w:color w:val="auto"/>
        </w:rPr>
        <w:t>that becomes due as a result of the voluntary sale or transfer of the property or assets securing such Indebtedness, if such sale or transfer is permitted hereunder and under the documents providing for such Indebtedness; or</w:t>
      </w:r>
    </w:p>
    <w:p>
      <w:pPr>
        <w:spacing w:after="0" w:line="159" w:lineRule="exact"/>
        <w:rPr>
          <w:sz w:val="20"/>
          <w:szCs w:val="20"/>
          <w:color w:val="auto"/>
        </w:rPr>
      </w:pPr>
    </w:p>
    <w:p>
      <w:pPr>
        <w:ind w:right="60" w:firstLine="1505"/>
        <w:spacing w:after="0" w:line="255" w:lineRule="auto"/>
        <w:tabs>
          <w:tab w:leader="none" w:pos="1893" w:val="left"/>
        </w:tabs>
        <w:numPr>
          <w:ilvl w:val="1"/>
          <w:numId w:val="4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Insolvency Proceedings, Etc</w:t>
      </w:r>
      <w:r>
        <w:rPr>
          <w:rFonts w:ascii="Times New Roman" w:cs="Times New Roman" w:eastAsia="Times New Roman" w:hAnsi="Times New Roman"/>
          <w:sz w:val="19"/>
          <w:szCs w:val="19"/>
          <w:color w:val="auto"/>
        </w:rPr>
        <w:t>. The Borrower, any Restricted Subsidiary of the Borrower that is a Significant Subsidiary or any group of Restricted Subsidiaries that, taken together, would constitute a Significant Subsidiary,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w:t>
      </w:r>
    </w:p>
    <w:p>
      <w:pPr>
        <w:ind w:left="380" w:hanging="372"/>
        <w:spacing w:after="0"/>
        <w:tabs>
          <w:tab w:leader="none" w:pos="380"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days, or an order for relief is entered in any such proceeding; or</w:t>
      </w:r>
    </w:p>
    <w:p>
      <w:pPr>
        <w:spacing w:after="0" w:line="193" w:lineRule="exact"/>
        <w:rPr>
          <w:rFonts w:ascii="Times New Roman" w:cs="Times New Roman" w:eastAsia="Times New Roman" w:hAnsi="Times New Roman"/>
          <w:sz w:val="20"/>
          <w:szCs w:val="20"/>
          <w:color w:val="auto"/>
        </w:rPr>
      </w:pPr>
    </w:p>
    <w:p>
      <w:pPr>
        <w:ind w:right="20" w:firstLine="1505"/>
        <w:spacing w:after="0" w:line="245" w:lineRule="auto"/>
        <w:tabs>
          <w:tab w:leader="none" w:pos="1893" w:val="left"/>
        </w:tabs>
        <w:numPr>
          <w:ilvl w:val="1"/>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the Borrower, any Restricted Subsidiary that is a Significant Subsidiary or any group of Restricted Subsidiaries that, taken together, would constitute a Significant Subsidiary, a final non-appealable judgment and order for the payment of money in an aggregate amount exceeding the Threshold Amount (to the extent not paid or covered by insurance or indemnities as to which the insurer or indemnifying party has been notified of such judgment or order and the applicable insurance company or indemnifying party has not denied coverage thereof) and such judgment or order shall not have been satisfied, vacated, discharged or stayed or bonded pending an appeal for a period of sixty (60) consecutive days; or</w:t>
      </w:r>
    </w:p>
    <w:p>
      <w:pPr>
        <w:spacing w:after="0" w:line="184" w:lineRule="exact"/>
        <w:rPr>
          <w:rFonts w:ascii="Times New Roman" w:cs="Times New Roman" w:eastAsia="Times New Roman" w:hAnsi="Times New Roman"/>
          <w:sz w:val="20"/>
          <w:szCs w:val="20"/>
          <w:color w:val="auto"/>
        </w:rPr>
      </w:pPr>
    </w:p>
    <w:p>
      <w:pPr>
        <w:jc w:val="both"/>
        <w:ind w:right="60" w:firstLine="1505"/>
        <w:spacing w:after="0" w:line="246" w:lineRule="auto"/>
        <w:tabs>
          <w:tab w:leader="none" w:pos="1893" w:val="left"/>
        </w:tabs>
        <w:numPr>
          <w:ilvl w:val="1"/>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(a) An ERISA Event occurs, (b) the Borrower or Holdings or any of their respective ERISA Affiliates fails to pay when due, after the expiration of any applicable grace period, any installment payment with respect to its Withdrawal Liability under Section 4201 of ERISA under a Multiemployer Plan or (c) with respect to a Foreign Plan, a termination, withdrawal or non-compliance with applicable Law or plan terms occurs, except, with respect to each of the foregoing clauses of this Section 8.01(8), as would not reasonably be expected, individually or in the aggregate, to result in a Material Adverse Effect; or</w:t>
      </w:r>
    </w:p>
    <w:p>
      <w:pPr>
        <w:spacing w:after="0" w:line="184" w:lineRule="exact"/>
        <w:rPr>
          <w:rFonts w:ascii="Times New Roman" w:cs="Times New Roman" w:eastAsia="Times New Roman" w:hAnsi="Times New Roman"/>
          <w:sz w:val="20"/>
          <w:szCs w:val="20"/>
          <w:color w:val="auto"/>
        </w:rPr>
      </w:pPr>
    </w:p>
    <w:p>
      <w:pPr>
        <w:ind w:firstLine="1505"/>
        <w:spacing w:after="0" w:line="243" w:lineRule="auto"/>
        <w:tabs>
          <w:tab w:leader="none" w:pos="1893" w:val="left"/>
        </w:tabs>
        <w:numPr>
          <w:ilvl w:val="1"/>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xml:space="preserve">. Any material provision of the Loan Documents, taken as a whole, at any time after its execution and delivery and for any reason (other than (a) as expressly permitted by a Loan Document (including as a result of a transaction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 xml:space="preserve">), (b) as a result of acts or omissions by an Agent or any Lender required pursuant to the Loan Documents or (c) due to the satisfaction in full of the Termination Conditions) ceases to be in full force and effect, or any Loan Party contests in writing the validity or enforceability of the Loan Documents, taken as a whole (other than as a result of the satisfaction of the Termination Conditions), or any Loan Party denies in writing that it has any or further liability or obligation under the Loan Documents, taken as a whole (other than (i) as expressly permitted by a Loan Document (including as a result of a transaction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 or (ii) as a result of the satisfaction of the Termination Conditions), or purports in writing to revoke or rescind the Loan Documents, taken as a whole, prior to the satisfaction of the Termination Conditions; or</w:t>
      </w:r>
    </w:p>
    <w:p>
      <w:pPr>
        <w:spacing w:after="0" w:line="185" w:lineRule="exact"/>
        <w:rPr>
          <w:rFonts w:ascii="Times New Roman" w:cs="Times New Roman" w:eastAsia="Times New Roman" w:hAnsi="Times New Roman"/>
          <w:sz w:val="20"/>
          <w:szCs w:val="20"/>
          <w:color w:val="auto"/>
        </w:rPr>
      </w:pPr>
    </w:p>
    <w:p>
      <w:pPr>
        <w:ind w:right="140" w:firstLine="1505"/>
        <w:spacing w:after="0" w:line="254" w:lineRule="auto"/>
        <w:tabs>
          <w:tab w:leader="none" w:pos="1893" w:val="left"/>
        </w:tabs>
        <w:numPr>
          <w:ilvl w:val="1"/>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Any Lien purported to be created by any Collateral Document with respect to a material portion of the Collateral shall cease to be, or any Lien purported to be created by any Collateral Document with respect to a material portion of the Collateral shall be asserted in writing by any Loan Party (prior to the satisfaction of the Termination Conditions) not to be, a</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3" w:name="page324"/>
    <w:bookmarkEnd w:id="323"/>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valid and perfected Lien with the priority required by such Collateral Document (or other security purported to be created on the applicable Collateral) on, and security interest in, any material portion of the Collateral purported to be covered thereby, subject to Liens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except to the extent that any such loss of perfection or priority results from the failure of the Administrative Agent or the Collateral Agent to maintain control of Collateral or possession of Collateral actually delivered to it and pledged under the Collateral Documents or to file Uniform Commercial Code amendments relating to a Loan Party’s change of name or jurisdiction of formation (solely to the extent that the Borrower provides the Collateral Agent written notice thereof in accordance with the Security Agreement, and the Collateral Agent and the Borrower have agreed that the Collateral Agent will be responsible for filing such amendments) or continuation statements, and except as to Collateral consisting of real property to the extent that such losses are covered by a lender’s title insurance policy and such insurer has not denied coverage; or</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216" w:lineRule="exact"/>
        <w:rPr>
          <w:sz w:val="20"/>
          <w:szCs w:val="20"/>
          <w:color w:val="auto"/>
        </w:rPr>
      </w:pPr>
    </w:p>
    <w:p>
      <w:pPr>
        <w:ind w:right="18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8.02 Remedies upon Event of Default. Subject to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if any Event of Default occurs and is continuing, the Administrative Agent may with the consent of the Required Lenders (and shall at the request of the Required Lenders), take any or all of the following actions:</w:t>
      </w:r>
    </w:p>
    <w:p>
      <w:pPr>
        <w:spacing w:after="0" w:line="174" w:lineRule="exact"/>
        <w:rPr>
          <w:sz w:val="20"/>
          <w:szCs w:val="20"/>
          <w:color w:val="auto"/>
        </w:rPr>
      </w:pPr>
    </w:p>
    <w:p>
      <w:pPr>
        <w:ind w:right="320" w:firstLine="1505"/>
        <w:spacing w:after="0" w:line="254" w:lineRule="auto"/>
        <w:tabs>
          <w:tab w:leader="none" w:pos="1893"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all or any portion of any one or more of the Commitments of each Lender to make Loans or of the Issuing Bank to Issue Letters of Credit to be suspended or terminated, whereupon all or such portion of such Commitments shall forthwith be suspended or terminated;</w:t>
      </w:r>
    </w:p>
    <w:p>
      <w:pPr>
        <w:spacing w:after="0" w:line="174" w:lineRule="exact"/>
        <w:rPr>
          <w:rFonts w:ascii="Times New Roman" w:cs="Times New Roman" w:eastAsia="Times New Roman" w:hAnsi="Times New Roman"/>
          <w:sz w:val="20"/>
          <w:szCs w:val="20"/>
          <w:color w:val="auto"/>
        </w:rPr>
      </w:pPr>
    </w:p>
    <w:p>
      <w:pPr>
        <w:ind w:right="320" w:firstLine="1505"/>
        <w:spacing w:after="0" w:line="295" w:lineRule="auto"/>
        <w:tabs>
          <w:tab w:leader="none" w:pos="1943" w:val="left"/>
        </w:tabs>
        <w:numPr>
          <w:ilvl w:val="0"/>
          <w:numId w:val="4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declare all or any portion of the unpaid principal amount of all outstanding Loans, all interest accrued and unpaid thereon, and all other amounts owing or payable hereunder or under any other Loan Document to be immediately due and payable;</w:t>
      </w:r>
    </w:p>
    <w:p>
      <w:pPr>
        <w:spacing w:after="0" w:line="137" w:lineRule="exact"/>
        <w:rPr>
          <w:rFonts w:ascii="Times New Roman" w:cs="Times New Roman" w:eastAsia="Times New Roman" w:hAnsi="Times New Roman"/>
          <w:sz w:val="19"/>
          <w:szCs w:val="19"/>
          <w:color w:val="auto"/>
        </w:rPr>
      </w:pPr>
    </w:p>
    <w:p>
      <w:pPr>
        <w:ind w:right="260" w:firstLine="1505"/>
        <w:spacing w:after="0" w:line="269" w:lineRule="auto"/>
        <w:tabs>
          <w:tab w:leader="none" w:pos="1893"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the then outstanding Letters of Credit (in an amount equal to 103% of the then Outstanding Amount thereof); and</w:t>
      </w:r>
    </w:p>
    <w:p>
      <w:pPr>
        <w:spacing w:after="0" w:line="159" w:lineRule="exact"/>
        <w:rPr>
          <w:rFonts w:ascii="Times New Roman" w:cs="Times New Roman" w:eastAsia="Times New Roman" w:hAnsi="Times New Roman"/>
          <w:sz w:val="20"/>
          <w:szCs w:val="20"/>
          <w:color w:val="auto"/>
        </w:rPr>
      </w:pPr>
    </w:p>
    <w:p>
      <w:pPr>
        <w:ind w:right="400" w:firstLine="1505"/>
        <w:spacing w:after="0" w:line="269" w:lineRule="auto"/>
        <w:tabs>
          <w:tab w:leader="none" w:pos="1893"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and the Lenders all rights and remedies available to it and the Lenders under the Loan Documents or applicable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upon the occurrence of an actual or deemed entry of an order for relief with respect to the Borrower, any Restricted Subsidiary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Borrower that is a Significant Subsidiary or any group of Restricted Subsidiaries that, taken together, would constitute a Significant</w:t>
      </w:r>
    </w:p>
    <w:p>
      <w:pPr>
        <w:spacing w:after="0"/>
        <w:rPr>
          <w:sz w:val="20"/>
          <w:szCs w:val="20"/>
          <w:color w:val="auto"/>
        </w:rPr>
      </w:pPr>
      <w:r>
        <w:rPr>
          <w:rFonts w:ascii="Times New Roman" w:cs="Times New Roman" w:eastAsia="Times New Roman" w:hAnsi="Times New Roman"/>
          <w:sz w:val="20"/>
          <w:szCs w:val="20"/>
          <w:color w:val="auto"/>
        </w:rPr>
        <w:t>Subsidiary under Title 11 of the United States Code entitled “Bankruptcy,” as now or hereafter in effect, or any successor thereto (the</w:t>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Bankruptcy Code</w:t>
      </w:r>
      <w:r>
        <w:rPr>
          <w:rFonts w:ascii="Times New Roman" w:cs="Times New Roman" w:eastAsia="Times New Roman" w:hAnsi="Times New Roman"/>
          <w:sz w:val="19"/>
          <w:szCs w:val="19"/>
          <w:color w:val="auto"/>
        </w:rPr>
        <w:t>”), the Commitments of each Lender and any obligation of the Issuing Banks to issue Letters of Credit and any obligation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Swing Line Lender to make Swing Line Loans, will automatically terminate, the unpaid principal amount of all outstanding Loans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interest and other amounts as aforesaid will automatically become due and payable, and the obligation of the Borrower to Cash</w:t>
      </w:r>
    </w:p>
    <w:p>
      <w:pPr>
        <w:spacing w:after="0"/>
        <w:rPr>
          <w:sz w:val="20"/>
          <w:szCs w:val="20"/>
          <w:color w:val="auto"/>
        </w:rPr>
      </w:pPr>
      <w:r>
        <w:rPr>
          <w:rFonts w:ascii="Times New Roman" w:cs="Times New Roman" w:eastAsia="Times New Roman" w:hAnsi="Times New Roman"/>
          <w:sz w:val="20"/>
          <w:szCs w:val="20"/>
          <w:color w:val="auto"/>
        </w:rPr>
        <w:t>Collateralize the Letters of Credit as aforesaid will automatically become effective, in each case without further act of the Administrative</w:t>
      </w:r>
    </w:p>
    <w:p>
      <w:pPr>
        <w:spacing w:after="0"/>
        <w:rPr>
          <w:sz w:val="20"/>
          <w:szCs w:val="20"/>
          <w:color w:val="auto"/>
        </w:rPr>
      </w:pPr>
      <w:r>
        <w:rPr>
          <w:rFonts w:ascii="Times New Roman" w:cs="Times New Roman" w:eastAsia="Times New Roman" w:hAnsi="Times New Roman"/>
          <w:sz w:val="20"/>
          <w:szCs w:val="20"/>
          <w:color w:val="auto"/>
        </w:rPr>
        <w:t>Agent or any Lender.</w:t>
      </w:r>
    </w:p>
    <w:p>
      <w:pPr>
        <w:spacing w:after="0" w:line="194" w:lineRule="exact"/>
        <w:rPr>
          <w:sz w:val="20"/>
          <w:szCs w:val="20"/>
          <w:color w:val="auto"/>
        </w:rPr>
      </w:pPr>
    </w:p>
    <w:p>
      <w:pPr>
        <w:jc w:val="both"/>
        <w:ind w:right="140" w:firstLine="1497"/>
        <w:spacing w:after="0" w:line="274" w:lineRule="auto"/>
        <w:rPr>
          <w:sz w:val="20"/>
          <w:szCs w:val="20"/>
          <w:color w:val="auto"/>
        </w:rPr>
      </w:pPr>
      <w:r>
        <w:rPr>
          <w:rFonts w:ascii="Times New Roman" w:cs="Times New Roman" w:eastAsia="Times New Roman" w:hAnsi="Times New Roman"/>
          <w:sz w:val="19"/>
          <w:szCs w:val="19"/>
          <w:color w:val="auto"/>
        </w:rPr>
        <w:t xml:space="preserve">SECTION 8.03 Application of Funds. After the exercise of remedies provided for in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xml:space="preserve"> (or after the Loans have automatically become immediately due and payable as set forth in the proviso to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subject to any Intercreditor Agreement then in effect, any amounts received on account of the Obligations will be applied by the Administrative Agent in the following order:</w:t>
      </w:r>
    </w:p>
    <w:p>
      <w:pPr>
        <w:spacing w:after="0" w:line="152" w:lineRule="exact"/>
        <w:rPr>
          <w:sz w:val="20"/>
          <w:szCs w:val="20"/>
          <w:color w:val="auto"/>
        </w:rPr>
      </w:pPr>
    </w:p>
    <w:p>
      <w:pPr>
        <w:ind w:left="760"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Obligations constituting fees, indemnities, expenses and other amounts (other than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principal and interest, but including Attorney Costs payable under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4" w:name="page325"/>
    <w:bookmarkEnd w:id="324"/>
    <w:p>
      <w:pPr>
        <w:jc w:val="both"/>
        <w:ind w:left="76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and the Collateral Agent in their capacities as such;</w:t>
      </w:r>
    </w:p>
    <w:p>
      <w:pPr>
        <w:spacing w:after="0" w:line="155" w:lineRule="exact"/>
        <w:rPr>
          <w:sz w:val="20"/>
          <w:szCs w:val="20"/>
          <w:color w:val="auto"/>
        </w:rPr>
      </w:pPr>
    </w:p>
    <w:p>
      <w:pPr>
        <w:jc w:val="both"/>
        <w:ind w:left="760" w:firstLine="749"/>
        <w:spacing w:after="0" w:line="250"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payment of that portion of the Obligations constituting fees, indemnities, premiums and other amounts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than principal and interest, but including Attorney Costs payable under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and amounts payable under Article III, and other than Obligations under Secured Hedge Agreements and Secured Cash Management Agreements) payable to the Lenders, ratably among them in proportion to the amounts described in this clause Second payable to them;</w:t>
      </w:r>
    </w:p>
    <w:p>
      <w:pPr>
        <w:spacing w:after="0" w:line="176" w:lineRule="exact"/>
        <w:rPr>
          <w:sz w:val="20"/>
          <w:szCs w:val="20"/>
          <w:color w:val="auto"/>
        </w:rPr>
      </w:pPr>
    </w:p>
    <w:p>
      <w:pPr>
        <w:jc w:val="both"/>
        <w:ind w:left="760"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payment of that portion of the Obligations constituting accrued and unpaid interest on the Loans and L/C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Borrowings ratably among the Lenders in proportion to the respective amounts described in this clause Third payable to them;</w:t>
      </w:r>
    </w:p>
    <w:p>
      <w:pPr>
        <w:spacing w:after="0" w:line="152" w:lineRule="exact"/>
        <w:rPr>
          <w:sz w:val="20"/>
          <w:szCs w:val="20"/>
          <w:color w:val="auto"/>
        </w:rPr>
      </w:pPr>
    </w:p>
    <w:p>
      <w:pPr>
        <w:jc w:val="both"/>
        <w:ind w:left="760" w:firstLine="749"/>
        <w:spacing w:after="0" w:line="247" w:lineRule="auto"/>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payment of that portion of the Obligations constituting unpaid principal of the Loans and L/C Borrowings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to Cash Collateralize that portion of L/C Obligations equal to 103% of the aggregate undrawn amount of Letters of Credit), the Obligations under Secured Hedge Agreements, Cash Management Obligations under Secured Cash Management Agreements, ratably among the Secured Parties in proportion to the respective amounts described in this clause Fourth held by them;</w:t>
      </w:r>
    </w:p>
    <w:p>
      <w:pPr>
        <w:spacing w:after="0" w:line="180" w:lineRule="exact"/>
        <w:rPr>
          <w:sz w:val="20"/>
          <w:szCs w:val="20"/>
          <w:color w:val="auto"/>
        </w:rPr>
      </w:pPr>
    </w:p>
    <w:p>
      <w:pPr>
        <w:jc w:val="both"/>
        <w:ind w:left="760" w:firstLine="749"/>
        <w:spacing w:after="0" w:line="256" w:lineRule="auto"/>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to the payment of all other Obligations of the Loan Parties that are due and payable to the Administrative Agent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other Secured Parties on such date, ratably based upon the respective aggregate amounts of all such Obligations owing to the Administrative Agent and the other Secured Parties on such date; and</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Last</w:t>
      </w:r>
      <w:r>
        <w:rPr>
          <w:rFonts w:ascii="Times New Roman" w:cs="Times New Roman" w:eastAsia="Times New Roman" w:hAnsi="Times New Roman"/>
          <w:sz w:val="20"/>
          <w:szCs w:val="20"/>
          <w:color w:val="auto"/>
        </w:rPr>
        <w:t>, the balance, if any, after all of the Obligations have been paid in full, to the Borrower or as otherwise required by</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Law.</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2.03(3)</w:t>
      </w:r>
      <w:r>
        <w:rPr>
          <w:rFonts w:ascii="Times New Roman" w:cs="Times New Roman" w:eastAsia="Times New Roman" w:hAnsi="Times New Roman"/>
          <w:sz w:val="20"/>
          <w:szCs w:val="20"/>
          <w:color w:val="auto"/>
        </w:rPr>
        <w:t xml:space="preserve">, amounts used to Cash Collateralize the aggregate undrawn amount of Letters of Credit pursuant to </w:t>
      </w:r>
      <w:r>
        <w:rPr>
          <w:rFonts w:ascii="Times New Roman" w:cs="Times New Roman" w:eastAsia="Times New Roman" w:hAnsi="Times New Roman"/>
          <w:sz w:val="20"/>
          <w:szCs w:val="20"/>
          <w:u w:val="single" w:color="auto"/>
          <w:color w:val="auto"/>
        </w:rPr>
        <w:t>clause Fourth</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will be applied to satisfy drawings under such Letters of Credit as they occur. If any amount remains on deposit as Cash Collateral after all Letters of Credit have either been fully drawn or expired, such remaining amount will be applied to the other Obligations, if any, in the order set forth above and, if no Obligations remain outstanding, will be paid to the Borrower.</w:t>
      </w:r>
    </w:p>
    <w:p>
      <w:pPr>
        <w:spacing w:after="0" w:line="180" w:lineRule="exact"/>
        <w:rPr>
          <w:sz w:val="20"/>
          <w:szCs w:val="20"/>
          <w:color w:val="auto"/>
        </w:rPr>
      </w:pPr>
    </w:p>
    <w:p>
      <w:pPr>
        <w:ind w:right="700" w:firstLine="1497"/>
        <w:spacing w:after="0" w:line="269" w:lineRule="auto"/>
        <w:rPr>
          <w:sz w:val="20"/>
          <w:szCs w:val="20"/>
          <w:color w:val="auto"/>
        </w:rPr>
      </w:pPr>
      <w:r>
        <w:rPr>
          <w:rFonts w:ascii="Times New Roman" w:cs="Times New Roman" w:eastAsia="Times New Roman" w:hAnsi="Times New Roman"/>
          <w:sz w:val="20"/>
          <w:szCs w:val="20"/>
          <w:color w:val="auto"/>
        </w:rPr>
        <w:t>Notwithstanding the foregoing, amounts received from any Loan Party shall not be applied to any Excluded Swap Obligation of such Loan Party.</w:t>
      </w:r>
    </w:p>
    <w:p>
      <w:pPr>
        <w:spacing w:after="0" w:line="159"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8.04</w:t>
      </w:r>
      <w:r>
        <w:rPr>
          <w:sz w:val="20"/>
          <w:szCs w:val="20"/>
          <w:color w:val="auto"/>
        </w:rPr>
        <w:tab/>
      </w:r>
      <w:r>
        <w:rPr>
          <w:rFonts w:ascii="Times New Roman" w:cs="Times New Roman" w:eastAsia="Times New Roman" w:hAnsi="Times New Roman"/>
          <w:sz w:val="20"/>
          <w:szCs w:val="20"/>
          <w:color w:val="auto"/>
        </w:rPr>
        <w:t>Right to Cure.</w:t>
      </w:r>
    </w:p>
    <w:p>
      <w:pPr>
        <w:spacing w:after="0" w:line="216" w:lineRule="exact"/>
        <w:rPr>
          <w:sz w:val="20"/>
          <w:szCs w:val="20"/>
          <w:color w:val="auto"/>
        </w:rPr>
      </w:pPr>
    </w:p>
    <w:p>
      <w:pPr>
        <w:ind w:right="40" w:firstLine="1505"/>
        <w:spacing w:after="0" w:line="245" w:lineRule="auto"/>
        <w:tabs>
          <w:tab w:leader="none" w:pos="1893"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but subject to </w:t>
      </w:r>
      <w:r>
        <w:rPr>
          <w:rFonts w:ascii="Times New Roman" w:cs="Times New Roman" w:eastAsia="Times New Roman" w:hAnsi="Times New Roman"/>
          <w:sz w:val="20"/>
          <w:szCs w:val="20"/>
          <w:u w:val="single" w:color="auto"/>
          <w:color w:val="auto"/>
        </w:rPr>
        <w:t>Sections 8.04(2)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for the purpose of determining whether an Event of Default under any Financial Covenant has occurred, the Borrower may on one or more occasions designate any portion of the Net Proceeds from any Permitted Equity Issuance or of any contribution to the common equity capital of the Borrower (or from any other contribution to capital or sale or issuance of any other Equity Interests on terms reasonably satisfactory to the Administrative Agent) (the “</w:t>
      </w:r>
      <w:r>
        <w:rPr>
          <w:rFonts w:ascii="Times New Roman" w:cs="Times New Roman" w:eastAsia="Times New Roman" w:hAnsi="Times New Roman"/>
          <w:sz w:val="20"/>
          <w:szCs w:val="20"/>
          <w:b w:val="1"/>
          <w:bCs w:val="1"/>
          <w:color w:val="auto"/>
        </w:rPr>
        <w:t>Cure Amount</w:t>
      </w:r>
      <w:r>
        <w:rPr>
          <w:rFonts w:ascii="Times New Roman" w:cs="Times New Roman" w:eastAsia="Times New Roman" w:hAnsi="Times New Roman"/>
          <w:sz w:val="20"/>
          <w:szCs w:val="20"/>
          <w:color w:val="auto"/>
        </w:rPr>
        <w:t xml:space="preserve">”) as an increase to Consolidated EBITDA of the Borrower for the applicable fiscal quarter;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4" w:lineRule="exact"/>
        <w:rPr>
          <w:rFonts w:ascii="Times New Roman" w:cs="Times New Roman" w:eastAsia="Times New Roman" w:hAnsi="Times New Roman"/>
          <w:sz w:val="20"/>
          <w:szCs w:val="20"/>
          <w:color w:val="auto"/>
        </w:rPr>
      </w:pPr>
    </w:p>
    <w:p>
      <w:pPr>
        <w:ind w:right="620" w:firstLine="1880"/>
        <w:spacing w:after="0" w:line="269" w:lineRule="auto"/>
        <w:tabs>
          <w:tab w:leader="none" w:pos="2268"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amounts to be designated are actually received by the Borrower (i) after the last Business Day of the applicable fiscal quarter and (ii) on or prior to the fifteenth (15th) Business Day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5" w:name="page326"/>
    <w:bookmarkEnd w:id="325"/>
    <w:p>
      <w:pPr>
        <w:ind w:right="100"/>
        <w:spacing w:after="0" w:line="273" w:lineRule="auto"/>
        <w:rPr>
          <w:sz w:val="20"/>
          <w:szCs w:val="20"/>
          <w:color w:val="auto"/>
        </w:rPr>
      </w:pPr>
      <w:r>
        <w:rPr>
          <w:rFonts w:ascii="Times New Roman" w:cs="Times New Roman" w:eastAsia="Times New Roman" w:hAnsi="Times New Roman"/>
          <w:sz w:val="20"/>
          <w:szCs w:val="20"/>
          <w:color w:val="auto"/>
        </w:rPr>
        <w:t>after the date on which financial statements are required to be delivered with respect to such applicable fiscal quarter (the “</w:t>
      </w:r>
      <w:r>
        <w:rPr>
          <w:rFonts w:ascii="Times New Roman" w:cs="Times New Roman" w:eastAsia="Times New Roman" w:hAnsi="Times New Roman"/>
          <w:sz w:val="20"/>
          <w:szCs w:val="20"/>
          <w:b w:val="1"/>
          <w:bCs w:val="1"/>
          <w:color w:val="auto"/>
        </w:rPr>
        <w:t>Cure Expiration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right="320" w:firstLine="1880"/>
        <w:spacing w:after="0" w:line="269" w:lineRule="auto"/>
        <w:tabs>
          <w:tab w:leader="none" w:pos="2268"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amounts to be designated do not exceed the maximum aggregate amount necessary to cure any Event of Default under the applicable Financial Covenant as of such date and</w:t>
      </w:r>
    </w:p>
    <w:p>
      <w:pPr>
        <w:spacing w:after="0" w:line="159" w:lineRule="exact"/>
        <w:rPr>
          <w:rFonts w:ascii="Times New Roman" w:cs="Times New Roman" w:eastAsia="Times New Roman" w:hAnsi="Times New Roman"/>
          <w:sz w:val="20"/>
          <w:szCs w:val="20"/>
          <w:color w:val="auto"/>
        </w:rPr>
      </w:pPr>
    </w:p>
    <w:p>
      <w:pPr>
        <w:ind w:right="140" w:firstLine="1880"/>
        <w:spacing w:after="0" w:line="246" w:lineRule="auto"/>
        <w:tabs>
          <w:tab w:leader="none" w:pos="2268"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have provided notice to the Administrative Agent on the date such amounts are designated as a “Cure Amount” (it being understood that to the extent such notice is provided in advance of delivery of a Compliance Certificate for the applicable period, the amount of such Net Proceeds that is designated as the Cure Amount may be lower than specified in such notice to the extent that the amount necessary to cure any Event of Default under the applicable Financial Covenant is less than the full amount of such originally designated amount).</w:t>
      </w:r>
    </w:p>
    <w:p>
      <w:pPr>
        <w:spacing w:after="0" w:line="18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The Cure Amount used to calculate Consolidated EBITDA for one fiscal quarter will be used and included when calculating Consolidated EBITDA for each Test Period that includes such fiscal quarter. The parties hereby acknowledge that (I)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8.04(1)</w:t>
      </w:r>
      <w:r>
        <w:rPr>
          <w:rFonts w:ascii="Times New Roman" w:cs="Times New Roman" w:eastAsia="Times New Roman" w:hAnsi="Times New Roman"/>
          <w:sz w:val="20"/>
          <w:szCs w:val="20"/>
          <w:color w:val="auto"/>
        </w:rPr>
        <w:t xml:space="preserve"> may not be relied on for purposes of calculating any financial ratios other than as applicable to the applicable Financial Covenant (and may not be included for purposes of determining pricing, mandatory prepayments and the availability or amount permitted pursuant to any covenant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may not result in any adjustment to any amounts (including the amount of Indebtedness) or increase in cash with respect to the fiscal quarter with respect to which such Cure Amount was received other than the amount of the Consolidated EBITDA referred to in the immediately preceding sentence and (II) there shall be no pro forma reduction in Indebtedness (by netting or otherwise) with the proceeds of any Cure Amount for purposes of determining compliance with the Total Net Leverage Ratio Financial Covenant for the fiscal quarter for which such Cure Amount is deemed applied. Notwithstanding anything to the contrary contained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(x) upon designation and actual receipt of the Cure Amount by the Borrower in an amount necessary to cure any Event of Default under any Financial Covenant, such Financial Covenant will be deemed satisfied and complied with as of the end of the relevant fiscal quarter with the same effect as though there had been no failure to comply with such Financial Covenant and any Event of Default under such Financial Covenant (and any other Default as a result thereof) will be deemed not to have occurred for purposes of the Loan Documents, (y) from and after the date that the Borrower delivers a written notice to the Administrative Agent that it intends to exercise its cure right under this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color w:val="auto"/>
        </w:rPr>
        <w:t>Notice of Intent to Cure</w:t>
      </w:r>
      <w:r>
        <w:rPr>
          <w:rFonts w:ascii="Times New Roman" w:cs="Times New Roman" w:eastAsia="Times New Roman" w:hAnsi="Times New Roman"/>
          <w:sz w:val="20"/>
          <w:szCs w:val="20"/>
          <w:color w:val="auto"/>
        </w:rPr>
        <w:t xml:space="preserve">”) neither the Administrative Agent nor any Lender may exercise any rights or remedies under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under any other Loan Document) on the basis of any actual or purported Event of Default under the applicable Financial Covenant (and any other Default as a result thereof) until and unless the Cure Expiration Date has occurred without the Cure Amount having been designated and (z) no Lender or Issuing Bank shall be required to (but in its sole discretion may) make any Revolving Loan or issue or amend any Letter of Credit from and after such time as the Administrative Agent has received the Notice of Intent to Cure unless and until the Cure Amount is actually received by the Borrower.</w:t>
      </w:r>
    </w:p>
    <w:p>
      <w:pPr>
        <w:spacing w:after="0" w:line="187" w:lineRule="exact"/>
        <w:rPr>
          <w:sz w:val="20"/>
          <w:szCs w:val="20"/>
          <w:color w:val="auto"/>
        </w:rPr>
      </w:pPr>
    </w:p>
    <w:p>
      <w:pPr>
        <w:ind w:firstLine="1505"/>
        <w:spacing w:after="0" w:line="269" w:lineRule="auto"/>
        <w:tabs>
          <w:tab w:leader="none" w:pos="1893"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each period of four consecutive fiscal quarters, there shall be no more than two (2) fiscal quarters in which the cure right set forth in </w:t>
      </w:r>
      <w:r>
        <w:rPr>
          <w:rFonts w:ascii="Times New Roman" w:cs="Times New Roman" w:eastAsia="Times New Roman" w:hAnsi="Times New Roman"/>
          <w:sz w:val="20"/>
          <w:szCs w:val="20"/>
          <w:u w:val="single" w:color="auto"/>
          <w:color w:val="auto"/>
        </w:rPr>
        <w:t>Section 8.04(1)</w:t>
      </w:r>
      <w:r>
        <w:rPr>
          <w:rFonts w:ascii="Times New Roman" w:cs="Times New Roman" w:eastAsia="Times New Roman" w:hAnsi="Times New Roman"/>
          <w:sz w:val="20"/>
          <w:szCs w:val="20"/>
          <w:color w:val="auto"/>
        </w:rPr>
        <w:t xml:space="preserve"> is exercised.</w:t>
      </w:r>
    </w:p>
    <w:p>
      <w:pPr>
        <w:spacing w:after="0" w:line="159" w:lineRule="exact"/>
        <w:rPr>
          <w:rFonts w:ascii="Times New Roman" w:cs="Times New Roman" w:eastAsia="Times New Roman" w:hAnsi="Times New Roman"/>
          <w:sz w:val="20"/>
          <w:szCs w:val="20"/>
          <w:color w:val="auto"/>
        </w:rPr>
      </w:pPr>
    </w:p>
    <w:p>
      <w:pPr>
        <w:ind w:right="140" w:firstLine="1505"/>
        <w:spacing w:after="0" w:line="269" w:lineRule="auto"/>
        <w:tabs>
          <w:tab w:leader="none" w:pos="1893"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shall be no more than five (5) fiscal quarters in which the cure rights set forth in </w:t>
      </w:r>
      <w:r>
        <w:rPr>
          <w:rFonts w:ascii="Times New Roman" w:cs="Times New Roman" w:eastAsia="Times New Roman" w:hAnsi="Times New Roman"/>
          <w:sz w:val="20"/>
          <w:szCs w:val="20"/>
          <w:u w:val="single" w:color="auto"/>
          <w:color w:val="auto"/>
        </w:rPr>
        <w:t>Section 8.04(1)</w:t>
      </w:r>
      <w:r>
        <w:rPr>
          <w:rFonts w:ascii="Times New Roman" w:cs="Times New Roman" w:eastAsia="Times New Roman" w:hAnsi="Times New Roman"/>
          <w:sz w:val="20"/>
          <w:szCs w:val="20"/>
          <w:color w:val="auto"/>
        </w:rPr>
        <w:t xml:space="preserve"> are exercised during the term of the Facilities.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IX</w:t>
      </w:r>
    </w:p>
    <w:p>
      <w:pPr>
        <w:spacing w:after="0" w:line="22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u w:val="single" w:color="auto"/>
          <w:color w:val="auto"/>
        </w:rPr>
        <w:t>The Agents</w:t>
      </w:r>
    </w:p>
    <w:p>
      <w:pPr>
        <w:spacing w:after="0" w:line="220" w:lineRule="exact"/>
        <w:rPr>
          <w:sz w:val="20"/>
          <w:szCs w:val="20"/>
          <w:color w:val="auto"/>
        </w:rPr>
      </w:pPr>
    </w:p>
    <w:p>
      <w:pPr>
        <w:ind w:left="1460"/>
        <w:spacing w:after="0"/>
        <w:tabs>
          <w:tab w:leader="none" w:pos="3020" w:val="left"/>
        </w:tabs>
        <w:rPr>
          <w:sz w:val="20"/>
          <w:szCs w:val="20"/>
          <w:color w:val="auto"/>
        </w:rPr>
      </w:pPr>
      <w:r>
        <w:rPr>
          <w:rFonts w:ascii="Times New Roman" w:cs="Times New Roman" w:eastAsia="Times New Roman" w:hAnsi="Times New Roman"/>
          <w:sz w:val="20"/>
          <w:szCs w:val="20"/>
          <w:color w:val="auto"/>
        </w:rPr>
        <w:t>SECTION 9.01</w:t>
      </w:r>
      <w:r>
        <w:rPr>
          <w:sz w:val="20"/>
          <w:szCs w:val="20"/>
          <w:color w:val="auto"/>
        </w:rPr>
        <w:tab/>
      </w:r>
      <w:r>
        <w:rPr>
          <w:rFonts w:ascii="Times New Roman" w:cs="Times New Roman" w:eastAsia="Times New Roman" w:hAnsi="Times New Roman"/>
          <w:sz w:val="19"/>
          <w:szCs w:val="19"/>
          <w:color w:val="auto"/>
        </w:rPr>
        <w:t>Appointment and Authorization.</w:t>
      </w:r>
    </w:p>
    <w:p>
      <w:pPr>
        <w:spacing w:after="0" w:line="216" w:lineRule="exact"/>
        <w:rPr>
          <w:sz w:val="20"/>
          <w:szCs w:val="20"/>
          <w:color w:val="auto"/>
        </w:rPr>
      </w:pPr>
    </w:p>
    <w:p>
      <w:pPr>
        <w:ind w:left="-40" w:firstLine="1505"/>
        <w:spacing w:after="0" w:line="242" w:lineRule="auto"/>
        <w:tabs>
          <w:tab w:leader="none" w:pos="1853"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Secured Party and Issuing Bank hereby irrevocably appoints Capital One (together with any successor Administrative Agent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9.07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9.15</w:t>
      </w:r>
      <w:r>
        <w:rPr>
          <w:rFonts w:ascii="Times New Roman" w:cs="Times New Roman" w:eastAsia="Times New Roman" w:hAnsi="Times New Roman"/>
          <w:sz w:val="20"/>
          <w:szCs w:val="20"/>
          <w:color w:val="auto"/>
        </w:rPr>
        <w:t>) are solely for the benefit of the Administrative Agent, the Lenders and each Issuing Bank and the Borrower shall not have rights as a third-party beneficiary of any such provision. The Administrative Agent hereby represents and warrants that it is either (a) a “U.S. person” and a “financial institution” and that it will comply with its “obligation to withhold,” each within the meaning of Treasury Regulations Section 1.1441-1(b)(2)(ii) or (b) a Withholding U.S. Branch. It is understood and agreed that any right to take (or decline to take) or any power or authority granted, assigned or delegated to the Administrative Agent or the Collateral Agent hereunder shall be taken or exercised, as the case may be, by the Administrative Agent or the Collateral Agent (or any co-agents, sub-agents or attorneys-in-fact designated by the Administrative Agent or the Collateral Agent in accordance with the terms of the applicable Loan Document).</w:t>
      </w:r>
    </w:p>
    <w:p>
      <w:pPr>
        <w:spacing w:after="0" w:line="187" w:lineRule="exact"/>
        <w:rPr>
          <w:rFonts w:ascii="Times New Roman" w:cs="Times New Roman" w:eastAsia="Times New Roman" w:hAnsi="Times New Roman"/>
          <w:sz w:val="20"/>
          <w:szCs w:val="20"/>
          <w:color w:val="auto"/>
        </w:rPr>
      </w:pPr>
    </w:p>
    <w:p>
      <w:pPr>
        <w:ind w:left="-40" w:firstLine="1505"/>
        <w:spacing w:after="0" w:line="254" w:lineRule="auto"/>
        <w:tabs>
          <w:tab w:leader="none" w:pos="1853" w:val="left"/>
        </w:tabs>
        <w:numPr>
          <w:ilvl w:val="0"/>
          <w:numId w:val="4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also act as the sole and exclusive “collateral agent” under the Loan Documents, and each of the Lenders (including in its capacities as a Lender and a potential Hedge Bank or Cash Management Bank) and the Issuing Banks hereby irrevocably appoints and authorizes the Administrative Agent to (i) act as the disbursing and collecting agent for the Lenders, Issuing Banks and Swing Line Lenders with respect to all payments and collections arising on connection with the Loan Documents (including any proceeding described in Section 8.01(6) or any other bankruptcy, insolvency or similar proceeding), and each Person making any payment in connection with any Loan Document to any Secured Party is hereby authorized to make such payment to the Administrative Agent, (ii) execute any amendment, consent or waiver under the Loan Documents on behalf of any Lender that has consented in writing to such amendment, consent or waiver and (iii) act as the agent of (and to hold any security interest created by the Collateral Documents for and on behalf of or in trust for) such Lender and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sole and exclusive “collateral agent” (and any co-agents, sub-agents and attorneys-in-fact appointed solely by the Administrative Agent pursuant to </w:t>
      </w:r>
      <w:r>
        <w:rPr>
          <w:rFonts w:ascii="Times New Roman" w:cs="Times New Roman" w:eastAsia="Times New Roman" w:hAnsi="Times New Roman"/>
          <w:sz w:val="19"/>
          <w:szCs w:val="19"/>
          <w:u w:val="single" w:color="auto"/>
          <w:color w:val="auto"/>
        </w:rPr>
        <w:t>Section 9.07</w:t>
      </w:r>
      <w:r>
        <w:rPr>
          <w:rFonts w:ascii="Times New Roman" w:cs="Times New Roman" w:eastAsia="Times New Roman" w:hAnsi="Times New Roman"/>
          <w:sz w:val="19"/>
          <w:szCs w:val="19"/>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and Article X with respect to the Administrative Agent (including </w:t>
      </w:r>
      <w:r>
        <w:rPr>
          <w:rFonts w:ascii="Times New Roman" w:cs="Times New Roman" w:eastAsia="Times New Roman" w:hAnsi="Times New Roman"/>
          <w:sz w:val="19"/>
          <w:szCs w:val="19"/>
          <w:u w:val="single" w:color="auto"/>
          <w:color w:val="auto"/>
        </w:rPr>
        <w:t>Sections 10.04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10.05</w:t>
      </w:r>
      <w:r>
        <w:rPr>
          <w:rFonts w:ascii="Times New Roman" w:cs="Times New Roman" w:eastAsia="Times New Roman" w:hAnsi="Times New Roman"/>
          <w:sz w:val="19"/>
          <w:szCs w:val="19"/>
          <w:color w:val="auto"/>
        </w:rPr>
        <w:t>), as though such co-agents, sub-agents and attorneys-in-fact were the “collateral agent” under the Loan Documents. Without limiting the generality of the foregoing, the Lenders hereby expressly authorize the Administrative Agent to execute any and all documents (including releases)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any Agent shall bind the Lenders.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630555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09" w:right="379" w:bottom="1440" w:gutter="0" w:footer="0" w:header="0"/>
        </w:sectPr>
      </w:pPr>
    </w:p>
    <w:bookmarkStart w:id="327" w:name="page328"/>
    <w:bookmarkEnd w:id="327"/>
    <w:p>
      <w:pPr>
        <w:ind w:firstLine="1505"/>
        <w:spacing w:after="0" w:line="249" w:lineRule="auto"/>
        <w:tabs>
          <w:tab w:leader="none" w:pos="1893" w:val="left"/>
        </w:tabs>
        <w:numPr>
          <w:ilvl w:val="1"/>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Each Lender (i) represents and warrants, as of the date such Person became a Lender party hereto, to, and (ii) covenants, from the date such Person became a Lender party hereto to the date such Person ceases being a Lender party hereto, for the benefit of the Administrative Agent, the Arrangers, the Issuing Bank and their respective Affiliates,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jc w:val="both"/>
        <w:ind w:left="760" w:right="980" w:firstLine="393"/>
        <w:spacing w:after="0" w:line="254" w:lineRule="auto"/>
        <w:tabs>
          <w:tab w:leader="none" w:pos="1551"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of one or more benefit plans with respect to such Lender’s entrance into, participation in, administration of, performance of and otherwise in connection with the Loans, the Letters of Credit, the Commitments or this Agreement,</w:t>
      </w:r>
    </w:p>
    <w:p>
      <w:pPr>
        <w:spacing w:after="0" w:line="174" w:lineRule="exact"/>
        <w:rPr>
          <w:sz w:val="20"/>
          <w:szCs w:val="20"/>
          <w:color w:val="auto"/>
        </w:rPr>
      </w:pPr>
    </w:p>
    <w:p>
      <w:pPr>
        <w:ind w:left="760" w:right="20" w:firstLine="393"/>
        <w:spacing w:after="0" w:line="244" w:lineRule="auto"/>
        <w:tabs>
          <w:tab w:leader="none" w:pos="1551"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w:t>
      </w:r>
    </w:p>
    <w:p>
      <w:pPr>
        <w:spacing w:after="0" w:line="186" w:lineRule="exact"/>
        <w:rPr>
          <w:sz w:val="20"/>
          <w:szCs w:val="20"/>
          <w:color w:val="auto"/>
        </w:rPr>
      </w:pPr>
    </w:p>
    <w:p>
      <w:pPr>
        <w:ind w:left="760" w:right="180" w:firstLine="393"/>
        <w:spacing w:after="0" w:line="259" w:lineRule="auto"/>
        <w:tabs>
          <w:tab w:leader="none" w:pos="1601" w:val="left"/>
        </w:tabs>
        <w:numPr>
          <w:ilvl w:val="0"/>
          <w:numId w:val="4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2" w:lineRule="exact"/>
        <w:rPr>
          <w:sz w:val="20"/>
          <w:szCs w:val="20"/>
          <w:color w:val="auto"/>
        </w:rPr>
      </w:pPr>
    </w:p>
    <w:p>
      <w:pPr>
        <w:ind w:left="760" w:right="300" w:firstLine="396"/>
        <w:spacing w:after="0" w:line="269" w:lineRule="auto"/>
        <w:rPr>
          <w:sz w:val="20"/>
          <w:szCs w:val="20"/>
          <w:color w:val="auto"/>
        </w:rPr>
      </w:pPr>
      <w:r>
        <w:rPr>
          <w:rFonts w:ascii="Times New Roman" w:cs="Times New Roman" w:eastAsia="Times New Roman" w:hAnsi="Times New Roman"/>
          <w:sz w:val="20"/>
          <w:szCs w:val="20"/>
          <w:color w:val="auto"/>
        </w:rPr>
        <w:t>(IV) such other representation, warranty and covenant as may be agreed in writing between the Administrative Agent, in its sole discretion, and such Lender.</w:t>
      </w:r>
    </w:p>
    <w:p>
      <w:pPr>
        <w:spacing w:after="0" w:line="159" w:lineRule="exact"/>
        <w:rPr>
          <w:sz w:val="20"/>
          <w:szCs w:val="20"/>
          <w:color w:val="auto"/>
        </w:rPr>
      </w:pPr>
    </w:p>
    <w:p>
      <w:pPr>
        <w:ind w:left="760" w:right="60" w:firstLine="393"/>
        <w:spacing w:after="0" w:line="242" w:lineRule="auto"/>
        <w:tabs>
          <w:tab w:leader="none" w:pos="1551"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such Lender has provided another representation, warranty and covenant as provided in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(i) represents and warrants, as of the date such Person became a Lender party hereto, to, and (ii) covenants, from the date such Person became a Lender party hereto to the date such Person ceases being a Lender party hereto, for the benefit of, the Administrative Agent, the Arrangers, the Issuing Bank and their respective Affiliates, and not, for the avoidance of doubt, to or for the benefit of the Borrower or any other Loan Party, that none of the Administrative Agent, the Arrangers, the Issuing Bank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jc w:val="both"/>
        <w:ind w:right="80" w:firstLine="1497"/>
        <w:spacing w:after="0" w:line="254" w:lineRule="auto"/>
        <w:rPr>
          <w:sz w:val="20"/>
          <w:szCs w:val="20"/>
          <w:color w:val="auto"/>
        </w:rPr>
      </w:pPr>
      <w:r>
        <w:rPr>
          <w:rFonts w:ascii="Times New Roman" w:cs="Times New Roman" w:eastAsia="Times New Roman" w:hAnsi="Times New Roman"/>
          <w:sz w:val="20"/>
          <w:szCs w:val="20"/>
          <w:color w:val="auto"/>
        </w:rPr>
        <w:t>SECTION 9.02 Rights as a Lender. Any Lender that is also serving as an Agent (including as Administrative Agent) hereunder shall have the same rights and powers in its capacity as a Lender as any other Lender and may exercise the same as though it were not an Agent and the term</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8" w:name="page329"/>
    <w:bookmarkEnd w:id="328"/>
    <w:p>
      <w:pPr>
        <w:ind w:right="60"/>
        <w:spacing w:after="0" w:line="244" w:lineRule="auto"/>
        <w:rPr>
          <w:sz w:val="20"/>
          <w:szCs w:val="20"/>
          <w:color w:val="auto"/>
        </w:rPr>
      </w:pPr>
      <w:r>
        <w:rPr>
          <w:rFonts w:ascii="Times New Roman" w:cs="Times New Roman" w:eastAsia="Times New Roman" w:hAnsi="Times New Roman"/>
          <w:sz w:val="20"/>
          <w:szCs w:val="20"/>
          <w:color w:val="auto"/>
        </w:rPr>
        <w:t>“Lender” shall, unless otherwise expressly indicated or unless the context otherwise requires, include each Lender (if any) serving as an Agent hereunder in its individual capacity. Any such Person serving as an Agent and its Affiliates may accept deposits from, lend money to, act as the financial advisor or in any other advisory capacity for and generally engage in any kind of business with the Borrower or any Subsidiary or other Affiliate thereof as if such Person were not an Agent hereunder and without any duty to account therefor to any Lender. The Lenders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w:t>
      </w:r>
    </w:p>
    <w:p>
      <w:pPr>
        <w:spacing w:after="0" w:line="18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SECTION 9.03 Exculpatory Provisions. The Administrative Agent and the Collateral Agent shall not have any duties or responsibilities except those expressly set forth in this Agreement and in the other Loan Documents. Without limiting the generality of the foregoing, each Agent (including the Administrative Agent):</w:t>
      </w:r>
    </w:p>
    <w:p>
      <w:pPr>
        <w:spacing w:after="0" w:line="174" w:lineRule="exact"/>
        <w:rPr>
          <w:sz w:val="20"/>
          <w:szCs w:val="20"/>
          <w:color w:val="auto"/>
        </w:rPr>
      </w:pPr>
    </w:p>
    <w:p>
      <w:pPr>
        <w:ind w:right="200" w:firstLine="1505"/>
        <w:spacing w:after="0" w:line="246" w:lineRule="auto"/>
        <w:tabs>
          <w:tab w:leader="none" w:pos="1893"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 and without limiting the generality of the foregoing, the use of the term “agent” herein and in the other Loan Documents with reference to any Agent or Arranger is not intended to connote any fiduciary or other implied (or express) obligations arising under agency doctrine of any applicable Law and instead, such term is used merely as a matter of market custom, and is intended to create or reflect only an administrative relationship between independent contracting parties;</w:t>
      </w:r>
    </w:p>
    <w:p>
      <w:pPr>
        <w:spacing w:after="0" w:line="184" w:lineRule="exact"/>
        <w:rPr>
          <w:rFonts w:ascii="Times New Roman" w:cs="Times New Roman" w:eastAsia="Times New Roman" w:hAnsi="Times New Roman"/>
          <w:sz w:val="20"/>
          <w:szCs w:val="20"/>
          <w:color w:val="auto"/>
        </w:rPr>
      </w:pPr>
    </w:p>
    <w:p>
      <w:pPr>
        <w:ind w:right="60" w:firstLine="1505"/>
        <w:spacing w:after="0" w:line="243" w:lineRule="auto"/>
        <w:tabs>
          <w:tab w:leader="none" w:pos="1893"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(including any such direction set forth herein or in such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Agent shall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9" w:lineRule="exact"/>
        <w:rPr>
          <w:rFonts w:ascii="Times New Roman" w:cs="Times New Roman" w:eastAsia="Times New Roman" w:hAnsi="Times New Roman"/>
          <w:sz w:val="20"/>
          <w:szCs w:val="20"/>
          <w:color w:val="auto"/>
        </w:rPr>
      </w:pPr>
    </w:p>
    <w:p>
      <w:pPr>
        <w:jc w:val="both"/>
        <w:ind w:right="180" w:firstLine="1505"/>
        <w:spacing w:after="0" w:line="254" w:lineRule="auto"/>
        <w:tabs>
          <w:tab w:leader="none" w:pos="1893"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any Person serving as an Agent or any of its Affiliates in any capacity.</w:t>
      </w:r>
    </w:p>
    <w:p>
      <w:pPr>
        <w:spacing w:after="0" w:line="174" w:lineRule="exact"/>
        <w:rPr>
          <w:sz w:val="20"/>
          <w:szCs w:val="20"/>
          <w:color w:val="auto"/>
        </w:rPr>
      </w:pPr>
    </w:p>
    <w:p>
      <w:pPr>
        <w:ind w:right="20" w:firstLine="1497"/>
        <w:spacing w:after="0" w:line="244"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Persons shall be liable for any action taken or not taken by it (a)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(b) in the absence of its own gross negligence or willful misconduct as determined by the final and non-appealable judgment of a court of competent jurisdiction, in connection with its duties expressly set forth herein. The Administrative Agent shall be deemed not to have knowledge of any Default unless and until notice describing such Default is given to the Administrative Agent by the Borrower, a Lender, or an Issuing Bank.</w:t>
      </w:r>
    </w:p>
    <w:p>
      <w:pPr>
        <w:spacing w:after="0" w:line="186" w:lineRule="exact"/>
        <w:rPr>
          <w:sz w:val="20"/>
          <w:szCs w:val="20"/>
          <w:color w:val="auto"/>
        </w:rPr>
      </w:pPr>
    </w:p>
    <w:p>
      <w:pPr>
        <w:ind w:right="220" w:firstLine="1497"/>
        <w:spacing w:after="0" w:line="269" w:lineRule="auto"/>
        <w:rPr>
          <w:sz w:val="20"/>
          <w:szCs w:val="20"/>
          <w:color w:val="auto"/>
        </w:rPr>
      </w:pPr>
      <w:r>
        <w:rPr>
          <w:rFonts w:ascii="Times New Roman" w:cs="Times New Roman" w:eastAsia="Times New Roman" w:hAnsi="Times New Roman"/>
          <w:sz w:val="20"/>
          <w:szCs w:val="20"/>
          <w:color w:val="auto"/>
        </w:rPr>
        <w:t>No Agent-Related Person shall be responsible for or have any duty to ascertain or inquire into (a) any recital, statement, warranty or representation made in or in connection with this Agreement or</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29" w:name="page330"/>
    <w:bookmarkEnd w:id="329"/>
    <w:p>
      <w:pPr>
        <w:ind w:right="80"/>
        <w:spacing w:after="0" w:line="256" w:lineRule="auto"/>
        <w:rPr>
          <w:sz w:val="20"/>
          <w:szCs w:val="20"/>
          <w:color w:val="auto"/>
        </w:rPr>
      </w:pPr>
      <w:r>
        <w:rPr>
          <w:rFonts w:ascii="Times New Roman" w:cs="Times New Roman" w:eastAsia="Times New Roman" w:hAnsi="Times New Roman"/>
          <w:sz w:val="19"/>
          <w:szCs w:val="19"/>
          <w:color w:val="auto"/>
        </w:rPr>
        <w:t xml:space="preserve">any other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(d) the validity, enforceability, effectiveness or genuineness of this Agreement, any other Loan Document or any other agreement, instrument or document, or the creation, perfection or priority of any Lien purported to be created by the Collateral Documents, (e) the value or the sufficiency of any Collateral or (f) the satisfaction of any condition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elsewhere herein, other than to confirm receipt of items expressly required to be delivered to the Administrative Agent. The duties of the Administrative Agent shall be mechanical and administrative in nature; the Administrative Agent shall not have by reason of this Agreement or any other Loan Document a fiduciary relationship in respect of any Lender or the holder of any Note; and nothing in this Agreement or in any other Loan Document, expressed or implied, is intended to or shall be so construed as to impose upon the Administrative Agent any obligations in respect of this Agreement or any other Loan Document except as expressly set forth herein or therein.</w:t>
      </w:r>
    </w:p>
    <w:p>
      <w:pPr>
        <w:spacing w:after="0" w:line="181" w:lineRule="exact"/>
        <w:rPr>
          <w:sz w:val="20"/>
          <w:szCs w:val="20"/>
          <w:color w:val="auto"/>
        </w:rPr>
      </w:pPr>
    </w:p>
    <w:p>
      <w:pPr>
        <w:ind w:right="120" w:firstLine="1497"/>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any other provision of this Agreement or any provision of any other Loan Document, each Arranger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the Arrangers shall be entitled to all indemnification and reimbursement rights in favor of the Arrangers as, and to the extent, provided for under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Without limitation of the foregoing, no Arranger shall, solely by reason of this Agreement or any other Loan Document, have any fiduciary relationship in respect of any Lender or any other Person.</w:t>
      </w:r>
    </w:p>
    <w:p>
      <w:pPr>
        <w:spacing w:after="0" w:line="184"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0"/>
          <w:szCs w:val="20"/>
          <w:color w:val="auto"/>
        </w:rPr>
        <w:t>SECTION 9.04 Lack of Reliance on the Administrative Agent. Independently and without reliance upon the Administrative Agent, the Arrangers and their respective Affiliates, each Lender and the holder of each Note, to the extent it deems appropriate, has made and shall continue to make (a) its own independent investigation of the financial condition and affairs of Holdings, the Borrower and the Restricted Subsidiaries in connection with the making and the continuance of the Loans and the taking or not taking of any action in connection herewith and (b) its own appraisal of the creditworthiness of Holdings, the Borrower and the Restricted Subsidiaries and, except as expressly provided in this Agreement, the Administrative Agent, and the Arrangers and any of their respective Affiliates shall not have any duty or responsibility, either initially or on a continuing basis, to provide any Lender or the holder of any Note with any credit or other information with respect thereto, whether coming into its possession before the making of the Loans or at any time or times thereafter. The Administrative Agent, the Arrangers and any of their respective Affiliates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Holdings, the Borrower or any of the Restricted Subsidiaries or be required to make any inquiry concerning either the performance or observance of any of the terms, provisions or conditions of this Agreement or any other Loan Document, or the financial condition of Holdings, the Borrower or any of the Restricted Subsidiaries or the existence or possible existence of any Default or Event of Default. The Agents may in good faith ask for such information or support it may deem reasonably necessary to confirm that one or more lenders in fact constitute either the Required Lenders or the Required Facility Lenders under any Facility before taking or declining to take any action under a Loan Document and none of the Agents shall be deemed to be liable to any Lender for so taking or so declining to take such action until it shall have received such information so reasonably requested.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0" w:name="page331"/>
    <w:bookmarkEnd w:id="330"/>
    <w:p>
      <w:pPr>
        <w:ind w:firstLine="1497"/>
        <w:spacing w:after="0" w:line="243" w:lineRule="auto"/>
        <w:rPr>
          <w:sz w:val="20"/>
          <w:szCs w:val="20"/>
          <w:color w:val="auto"/>
        </w:rPr>
      </w:pPr>
      <w:r>
        <w:rPr>
          <w:rFonts w:ascii="Times New Roman" w:cs="Times New Roman" w:eastAsia="Times New Roman" w:hAnsi="Times New Roman"/>
          <w:sz w:val="20"/>
          <w:szCs w:val="20"/>
          <w:color w:val="auto"/>
        </w:rPr>
        <w:t>SECTION 9.05 Certain Rights of the Administrative Agent. If the Administrative Agent requests instructions from the Required Lenders or the Required Facility Lenders (as applicable)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or the Required Facility Lenders; and the Administrative Agent shall not incur liability to any Lender by reason of so refraining. Without limiting the foregoing, neither any Lender nor the holder of any Note shall have any right of action whatsoever against the Administrative Agent as a result of the Administrative Agent acting or refraining from acting hereunder or under any other Loan Document in accordance with the instructions of the Required Lenders or the Required Facility Lenders (as applicable).</w:t>
      </w:r>
    </w:p>
    <w:p>
      <w:pPr>
        <w:spacing w:after="0" w:line="189" w:lineRule="exact"/>
        <w:rPr>
          <w:sz w:val="20"/>
          <w:szCs w:val="20"/>
          <w:color w:val="auto"/>
        </w:rPr>
      </w:pPr>
    </w:p>
    <w:p>
      <w:pPr>
        <w:ind w:right="120" w:firstLine="1497"/>
        <w:spacing w:after="0" w:line="242" w:lineRule="auto"/>
        <w:rPr>
          <w:sz w:val="20"/>
          <w:szCs w:val="20"/>
          <w:color w:val="auto"/>
        </w:rPr>
      </w:pPr>
      <w:r>
        <w:rPr>
          <w:rFonts w:ascii="Times New Roman" w:cs="Times New Roman" w:eastAsia="Times New Roman" w:hAnsi="Times New Roman"/>
          <w:sz w:val="20"/>
          <w:szCs w:val="20"/>
          <w:color w:val="auto"/>
        </w:rPr>
        <w:t>SECTION 9.06 Reliance by the Administrative Agent. The Administrative Agent shall be entitled to rely upon, and shall be fully protected in relying upon, any note, writing, resolution, notice, statement, certificate, telex, teletype or facsimile message, cablegram, radiogram, order or other document or telephone message signed, sent or made by any Person that the Administrative Agent believed to be the proper Person, and, with respect to all legal matters pertaining to this Agreement and any other Loan Document and its duties hereunder and thereunder, upon advice of counsel selected by the Administrative Agent. In determining compliance with any condition hereunder to the making of a Loan or the issuance, extension or increase of a Letter of Credit, that by its terms must be fulfilled to the satisfaction of a Lender or Issuing Bank, the Administrative Agent may presume that such condition is satisfactory to such Lender or Issuing Bank unless the Administrative Agent shall have received notice to the contrary from such Lender or Issuing Bank prior to the making of such Loan or issuances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0" w:lineRule="exact"/>
        <w:rPr>
          <w:sz w:val="20"/>
          <w:szCs w:val="20"/>
          <w:color w:val="auto"/>
        </w:rPr>
      </w:pPr>
    </w:p>
    <w:p>
      <w:pPr>
        <w:ind w:right="2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9.07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Agent-Related Persons. The exculpatory provisions of this Article shall apply to any such sub agent and to the Agent-Related Persons of the Administrative Agent and any such sub agent, and shall apply to their respective activities as Administrative Agent. Notwithstanding anything to the contrary in this </w:t>
      </w:r>
      <w:r>
        <w:rPr>
          <w:rFonts w:ascii="Times New Roman" w:cs="Times New Roman" w:eastAsia="Times New Roman" w:hAnsi="Times New Roman"/>
          <w:sz w:val="20"/>
          <w:szCs w:val="20"/>
          <w:u w:val="single" w:color="auto"/>
          <w:color w:val="auto"/>
        </w:rPr>
        <w:t>Section 9.07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the Administrative Agent shall not delegate to any Supplemental Administrative Agent responsibility for receiving any payments under any Loan Document for the account of any Lender, which payments shall be received directly by the Administrative Agent without prior written consent of the Borrower (not to unreasonably withheld or delayed).</w:t>
      </w:r>
    </w:p>
    <w:p>
      <w:pPr>
        <w:spacing w:after="0" w:line="186"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SECTION 9.08 Indemnification. Whether or not the transactions contemplated hereby are consummated, to the extent the Administrative Agent or any of its Agent-Related Persons (solely to the extent any such Agent-Related Person was performing services on behalf of the Administrative Agent) or Issuing Bank is not reimbursed and indemnified by the Borrower, the Lenders will reimburse and indemnify the Administrative Agent or any of its Agent-Related Persons (solely to the extent any such Agent-Related Person was performing services on behalf of the Administrative Agent) or Issuing Bank in proportion to their respective Pro Rata Shares for and against any and all liabilities, obligations, responsibilities, fines, sanctions, losses, damages, penalties, claims, actions, suits, judgments, costs, fees, Taxes, commissions, charges, expenses or disbursements of whatsoever kind or nature which may be imposed on, asserted against or incurred by the Administrative Agent or any of its Agent-Related Persons (solely to the extent any such Agent-Related Person was performing services on behalf of the Administrative Agent) or Issuing Bank for any action taken or omitted to be taken in performing its duties hereunder, under any other Loan Document, under any Letter of Credit or in any way relating to or arising</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31" w:name="page332"/>
    <w:bookmarkEnd w:id="331"/>
    <w:p>
      <w:pPr>
        <w:ind w:right="20"/>
        <w:spacing w:after="0" w:line="241" w:lineRule="auto"/>
        <w:rPr>
          <w:sz w:val="20"/>
          <w:szCs w:val="20"/>
          <w:color w:val="auto"/>
        </w:rPr>
      </w:pPr>
      <w:r>
        <w:rPr>
          <w:rFonts w:ascii="Times New Roman" w:cs="Times New Roman" w:eastAsia="Times New Roman" w:hAnsi="Times New Roman"/>
          <w:sz w:val="20"/>
          <w:szCs w:val="20"/>
          <w:color w:val="auto"/>
        </w:rPr>
        <w:t xml:space="preserve">out of this Agreement, any other Loan Document or the Letters of Credit;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be liable for any portion of such liabilities, obligations, responsibilities, fines, sanctions, losses, damages, penalties, claims, actions, judgments, suits, costs, fees, Taxes, commissions, charges, expenses or disbursements resulting from the Administrative Agent’s, any of its Agent-Related Person’s or Issuing Bank’s gross negligence or willful misconduct (as determined by a court of competent jurisdiction in a final and non-appealable decision).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reimbursement by the Lenders shall not affect the Borrower’s continuing reimbursement obligations with respect thereto,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failure of any Lender to indemnify or reimburse the Administrative Agent shall not relieve any other Lender of its obligation in respect thereof. In the case of any investigation, litigation or proceeding giving rise to any Indemnified Liabilities,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applies whether any such investigation, litigation or proceeding is brought by any Lender or any other Person. The undertaking in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shall survive termination of the Aggregate Commitments, the payment of all other Obligations and the resignation of the Administrative Agent.</w:t>
      </w:r>
    </w:p>
    <w:p>
      <w:pPr>
        <w:spacing w:after="0" w:line="198"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SECTION 9.09 The Administrative Agent in Its Individual Capacity. With respect to its obligation to make Loans under this Agreement, the Administrative Agent shall have the rights and powers specified herein for a “Lender” and may exercise the same rights and powers as though it were not performing the duties specified herein; and the term “Lender”, “Required Lenders”, “Required Facility Lenders,” or any similar terms shall, unless the context clearly indicates otherwise, include the Administrative Agent in its individual capacity. The Administrative Agent and its affiliates may accept deposits from, lend money to, and generally engage in any kind of banking, investment banking, trust or other business with, or provide debt financing, equity capital or other services (including financial advisory services) to any Loan Party or any Affiliate of any Loan Party (or any Person engaged in a similar business with any Loan Party or any Affiliate thereof) as if they were not performing the duties specified herein, and may accept fees and other consideration from any Loan Party or any Affiliate of any Loan Party for services in connection with this Agreement and otherwise without having to account for the same to the Lenders. The Lenders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w:t>
      </w:r>
    </w:p>
    <w:p>
      <w:pPr>
        <w:spacing w:after="0" w:line="187"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SECTION 9.10 No Other Duties, Etc. Anything herein to the contrary notwithstanding, none of the Agents listed on the cover page hereof shall have any powers, duties or responsibilities under this Agreement or any of the other Loan Documents, except in its capacity, as applicable, as the Administrative Agent, the Collateral Agent, a Lender, Swing Line Lender or an Issuing Bank hereunder, as the case may be. None of the Lenders or other Persons identified on the facing page or signature pages of this Agreement as a “joint lead arranger” or “joint bookrunner” shall have any obligation, liability, responsibility or duty under this Agreement other than (a) as expressly provided herein or (b) those applicable to all Lenders, but only to the extent acting in such capacity as a Lender.</w:t>
      </w:r>
    </w:p>
    <w:p>
      <w:pPr>
        <w:spacing w:after="0" w:line="184" w:lineRule="exact"/>
        <w:rPr>
          <w:sz w:val="20"/>
          <w:szCs w:val="20"/>
          <w:color w:val="auto"/>
        </w:rPr>
      </w:pPr>
    </w:p>
    <w:p>
      <w:pPr>
        <w:ind w:right="140" w:firstLine="1497"/>
        <w:spacing w:after="0" w:line="250" w:lineRule="auto"/>
        <w:rPr>
          <w:sz w:val="20"/>
          <w:szCs w:val="20"/>
          <w:color w:val="auto"/>
        </w:rPr>
      </w:pPr>
      <w:r>
        <w:rPr>
          <w:rFonts w:ascii="Times New Roman" w:cs="Times New Roman" w:eastAsia="Times New Roman" w:hAnsi="Times New Roman"/>
          <w:sz w:val="20"/>
          <w:szCs w:val="20"/>
          <w:color w:val="auto"/>
        </w:rPr>
        <w:t>SECTION 9.11 Resignation by the Administrative Agent. The Administrative Agent may resign from the performance of all its respective functions and duties hereunder or under the other Loan Documents at any time by giving 30 Business Days prior written notice to the Lenders and the Borrower. If the Administrative Agent becomes subject to a Lender-Related Distress Event, then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2" w:name="page333"/>
    <w:bookmarkEnd w:id="332"/>
    <w:p>
      <w:pPr>
        <w:spacing w:after="0" w:line="249" w:lineRule="auto"/>
        <w:rPr>
          <w:sz w:val="20"/>
          <w:szCs w:val="20"/>
          <w:color w:val="auto"/>
        </w:rPr>
      </w:pPr>
      <w:r>
        <w:rPr>
          <w:rFonts w:ascii="Times New Roman" w:cs="Times New Roman" w:eastAsia="Times New Roman" w:hAnsi="Times New Roman"/>
          <w:sz w:val="20"/>
          <w:szCs w:val="20"/>
          <w:color w:val="auto"/>
        </w:rPr>
        <w:t>Administrative Agent may be removed as the Administrative Agent at the reasonable request of the Required Lenders. If the Administrative Agent becomes subject to an Agent-Related Distress Event, then the Borrower may remove the Administrative Agent from such role upon 15 days’ prior written notice to the Lenders. Such resignation or removal shall take effect upon the appointment of a successor Administrative Agent, as provided below.</w:t>
      </w:r>
    </w:p>
    <w:p>
      <w:pPr>
        <w:spacing w:after="0" w:line="180" w:lineRule="exact"/>
        <w:rPr>
          <w:sz w:val="20"/>
          <w:szCs w:val="20"/>
          <w:color w:val="auto"/>
        </w:rPr>
      </w:pPr>
    </w:p>
    <w:p>
      <w:pPr>
        <w:jc w:val="both"/>
        <w:ind w:right="20" w:firstLine="1497"/>
        <w:spacing w:after="0" w:line="274" w:lineRule="auto"/>
        <w:rPr>
          <w:sz w:val="20"/>
          <w:szCs w:val="20"/>
          <w:color w:val="auto"/>
        </w:rPr>
      </w:pPr>
      <w:r>
        <w:rPr>
          <w:rFonts w:ascii="Times New Roman" w:cs="Times New Roman" w:eastAsia="Times New Roman" w:hAnsi="Times New Roman"/>
          <w:sz w:val="19"/>
          <w:szCs w:val="19"/>
          <w:color w:val="auto"/>
        </w:rPr>
        <w:t>Notwithstanding anything to the contrary in this Agreement, no successor Administrative Agent shall be appointed unless such successor Administrative Agent represents and warrants that it is (a) a “U.S. person” and a “financial institution” and that it will comply with its “obligation to withhold,” each within the meaning of U.S. Treasury Regulations Section 1.1441-1 or (b) a Withholding U.S. Branch.</w:t>
      </w:r>
    </w:p>
    <w:p>
      <w:pPr>
        <w:spacing w:after="0" w:line="156" w:lineRule="exact"/>
        <w:rPr>
          <w:sz w:val="20"/>
          <w:szCs w:val="20"/>
          <w:color w:val="auto"/>
        </w:rPr>
      </w:pPr>
    </w:p>
    <w:p>
      <w:pPr>
        <w:ind w:right="60" w:firstLine="1497"/>
        <w:spacing w:after="0" w:line="246" w:lineRule="auto"/>
        <w:rPr>
          <w:sz w:val="20"/>
          <w:szCs w:val="20"/>
          <w:color w:val="auto"/>
        </w:rPr>
      </w:pPr>
      <w:r>
        <w:rPr>
          <w:rFonts w:ascii="Times New Roman" w:cs="Times New Roman" w:eastAsia="Times New Roman" w:hAnsi="Times New Roman"/>
          <w:sz w:val="20"/>
          <w:szCs w:val="20"/>
          <w:color w:val="auto"/>
        </w:rPr>
        <w:t>Upon any such notice of resignation by, or notice of removal of, the Administrative Agent, the Required Lenders, shall appoint a successor Administrative Agent hereunder or thereunder who shall be a commercial bank or trust company or other Person that customarily acts in an agency or trustee role in syndicated credit facilities, in each case, reasonably acceptable to the Borrower, which acceptance shall not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Borrower’s approval shall not be required if an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solely with respect to the Borrower,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has occurred and is continuing).</w:t>
      </w:r>
    </w:p>
    <w:p>
      <w:pPr>
        <w:spacing w:after="0" w:line="185"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0"/>
          <w:szCs w:val="20"/>
          <w:color w:val="auto"/>
        </w:rPr>
        <w:t xml:space="preserve">If a successor Administrative Agent shall not have been so appointed within such 30 Business Day period, the Administrative Agent with the consent of the Borrower (which consent shall not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Borrower’s consent shall not be required if an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solely with respect to the Borrower,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has occurred and is continuing), shall then appoint a successor Administrative Agent, who shall serve as Administrative Agent hereunder or thereunder until such time, if any, as the Required Lenders appoint a successor Administrative Agent, as provided above.</w:t>
      </w:r>
    </w:p>
    <w:p>
      <w:pPr>
        <w:spacing w:after="0" w:line="185"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If no successor Administrative Agent has been appointed pursuant to the foregoing by the 35th Business Day after the date such notice of resignation was given by the Administrative Agent or such notice of removal was given by the Required Lenders or the Borrower, as applicable, the Administrative Agent’s resignation shall nonetheless become effective and the Required Lenders shall thereafter perform all the duties of the Administrative Agent hereunder or under any other Loan Document until such time, if any, as the Required Lenders appoint a successor Administrative Agent, as provided above. The retiring Administrative Agent shall be discharged from its duties and obligations hereunder and under the other Loan Documents (except that in the case of any collateral security held by the Administrative Agent on behalf of the Lenders or the Issuing Banks under any of the Loan Documents, the retiring Administrative Agent shall continue to hold such collateral security until such time as a successor Administrative Agent is appointed) and except for any indemnity payments or other amounts then owed to the retiring or removed Administrative Agent, all payments, communications and determinations provided to be made by, to or through the Administrative Agent shall instead be made by or to each Lender or Issuing Bank directly, until such time as the Required Lenders appoint a successor Administrative Agent as provided for above in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right="260" w:firstLine="1497"/>
        <w:spacing w:after="0" w:line="244" w:lineRule="auto"/>
        <w:rPr>
          <w:sz w:val="20"/>
          <w:szCs w:val="20"/>
          <w:color w:val="auto"/>
        </w:rPr>
      </w:pPr>
      <w:r>
        <w:rPr>
          <w:rFonts w:ascii="Times New Roman" w:cs="Times New Roman" w:eastAsia="Times New Roman" w:hAnsi="Times New Roman"/>
          <w:sz w:val="20"/>
          <w:szCs w:val="20"/>
          <w:color w:val="auto"/>
        </w:rPr>
        <w:t>Upon the acceptance of a successor’s appointment as Administrative Agent hereunder and, in the case of a successor’s appointment as Administrative Agent for purposes of the immediately succeeding clauses (a) and (b), upon the execution and filing or recording of such financing statements, or amendments thereto, and such amendments or supplements to the Mortgages, and such other instruments or notices, as may be necessary or desirable, or as the Required Lenders may request, in order to (a) continue the perfection of the Liens granted or purported to be granted by the Collateral Documents or (b) otherwise ensure that the Collateral and Guarantee Requirement is satisfied, such successor shall succeed to and become vested with all of the rights, powers, privileges and duties of the retiring (or retired)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33" w:name="page334"/>
    <w:bookmarkEnd w:id="333"/>
    <w:p>
      <w:pPr>
        <w:ind w:right="100"/>
        <w:spacing w:after="0" w:line="269" w:lineRule="auto"/>
        <w:rPr>
          <w:sz w:val="20"/>
          <w:szCs w:val="20"/>
          <w:color w:val="auto"/>
        </w:rPr>
      </w:pPr>
      <w:r>
        <w:rPr>
          <w:rFonts w:ascii="Times New Roman" w:cs="Times New Roman" w:eastAsia="Times New Roman" w:hAnsi="Times New Roman"/>
          <w:sz w:val="20"/>
          <w:szCs w:val="20"/>
          <w:color w:val="auto"/>
        </w:rPr>
        <w:t xml:space="preserve">Administrative Agent, and the retiring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0"/>
          <w:szCs w:val="20"/>
          <w:color w:val="auto"/>
        </w:rPr>
        <w:t xml:space="preserve">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10.04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xml:space="preserve"> shall continue in effect for the benefit of such retiring Administrative Agent, its sub-agents and their respective Agent-Related Persons in respect of any actions taken or omitted to be taken by any of them while the retiring Administrative Agent was acting as Administrative Agent.</w:t>
      </w:r>
    </w:p>
    <w:p>
      <w:pPr>
        <w:spacing w:after="0" w:line="185" w:lineRule="exact"/>
        <w:rPr>
          <w:sz w:val="20"/>
          <w:szCs w:val="20"/>
          <w:color w:val="auto"/>
        </w:rPr>
      </w:pPr>
    </w:p>
    <w:p>
      <w:pPr>
        <w:ind w:right="140" w:firstLine="1497"/>
        <w:spacing w:after="0" w:line="249" w:lineRule="auto"/>
        <w:rPr>
          <w:sz w:val="20"/>
          <w:szCs w:val="20"/>
          <w:color w:val="auto"/>
        </w:rPr>
      </w:pPr>
      <w:r>
        <w:rPr>
          <w:rFonts w:ascii="Times New Roman" w:cs="Times New Roman" w:eastAsia="Times New Roman" w:hAnsi="Times New Roman"/>
          <w:sz w:val="20"/>
          <w:szCs w:val="20"/>
          <w:color w:val="auto"/>
        </w:rPr>
        <w:t xml:space="preserve">Upon a resignation or removal of the Administrative Agent pursuant to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the Administrative Agent (a) shall continue to be subject to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and (b) shall remain indemnified to the extent provided in this Agreement and the other Loan Documents and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analogous provisions of the other Loan Documents) shall continue in effect for the benefit of the Administrative Agent for all of its actions and inactions while serving as the Administrative Agent.</w:t>
      </w:r>
    </w:p>
    <w:p>
      <w:pPr>
        <w:spacing w:after="0" w:line="180"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SECTION 9.12 Collateral Matters. Each Lender (including in its capacities as a potential Cash Management Bank and a potential Hedge Bank) irrevocably authorizes and directs the Administrative Agent and the Collateral Agent to take the actions to be taken by them as set forth in </w:t>
      </w:r>
      <w:r>
        <w:rPr>
          <w:rFonts w:ascii="Times New Roman" w:cs="Times New Roman" w:eastAsia="Times New Roman" w:hAnsi="Times New Roman"/>
          <w:sz w:val="20"/>
          <w:szCs w:val="20"/>
          <w:u w:val="single" w:color="auto"/>
          <w:color w:val="auto"/>
        </w:rPr>
        <w:t>Sections 7.04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10.24</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20" w:firstLine="1497"/>
        <w:spacing w:after="0" w:line="243" w:lineRule="auto"/>
        <w:rPr>
          <w:sz w:val="20"/>
          <w:szCs w:val="20"/>
          <w:color w:val="auto"/>
        </w:rPr>
      </w:pPr>
      <w:r>
        <w:rPr>
          <w:rFonts w:ascii="Times New Roman" w:cs="Times New Roman" w:eastAsia="Times New Roman" w:hAnsi="Times New Roman"/>
          <w:sz w:val="20"/>
          <w:szCs w:val="20"/>
          <w:color w:val="auto"/>
        </w:rPr>
        <w:t>Each Lender hereby agrees, and each holder of any Note by the acceptance thereof will be deemed to agree, that, except as otherwise set forth herein, any action taken by the Required Lenders or the Required Facility Lenders, as applicable, in accordance with the provisions of this Agreement or the Collateral Documents, and the exercise by the Required Lenders or the Required Facility Lenders, as applicable, of the powers set forth herein or therein, together with such other powers as are reasonably incidental thereto, shall be authorized and binding upon all of the Lenders. The Collateral Agent is hereby authorized on behalf of all of the Lenders, without the necessity of any notice to or further consent from any Lender, from time to time, to take any action with respect to any Collateral or Collateral Documents which may be necessary to perfect and maintain perfected the security interest in and liens upon the Collateral granted pursuant to the Collateral Documents.</w:t>
      </w:r>
    </w:p>
    <w:p>
      <w:pPr>
        <w:spacing w:after="0" w:line="189" w:lineRule="exact"/>
        <w:rPr>
          <w:sz w:val="20"/>
          <w:szCs w:val="20"/>
          <w:color w:val="auto"/>
        </w:rPr>
      </w:pPr>
    </w:p>
    <w:p>
      <w:pPr>
        <w:ind w:right="160" w:firstLine="1497"/>
        <w:spacing w:after="0" w:line="24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Lenders will confirm in writing the Collateral Agent’s authority to release or subordinate particular types or items of Collateral pursuant to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 xml:space="preserve">, the applicable Agent will (and each Lender irrevocably authorizes the applicable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0"/>
          <w:szCs w:val="20"/>
          <w:color w:val="auto"/>
        </w:rPr>
        <w:t>The Collateral Agent shall have no obligation whatsoever to the Lenders or to any other Person to assure that the Collateral exists or is owned by any Loan Party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Collateral Agent in this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4" w:name="page335"/>
    <w:bookmarkEnd w:id="334"/>
    <w:p>
      <w:pPr>
        <w:ind w:right="180"/>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10.24</w:t>
      </w:r>
      <w:r>
        <w:rPr>
          <w:rFonts w:ascii="Times New Roman" w:cs="Times New Roman" w:eastAsia="Times New Roman" w:hAnsi="Times New Roman"/>
          <w:sz w:val="20"/>
          <w:szCs w:val="20"/>
          <w:color w:val="auto"/>
        </w:rPr>
        <w:t xml:space="preserve"> or in any of the Collateral Documents, it being understood and agreed that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by a court of competent jurisdiction in a final and non-appealable decision).</w:t>
      </w:r>
    </w:p>
    <w:p>
      <w:pPr>
        <w:spacing w:after="0" w:line="185"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0"/>
          <w:szCs w:val="20"/>
          <w:color w:val="auto"/>
        </w:rPr>
        <w:t>SECTION 9.13 Administrative Agent May File Proofs of Claim.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5" w:lineRule="exact"/>
        <w:rPr>
          <w:sz w:val="20"/>
          <w:szCs w:val="20"/>
          <w:color w:val="auto"/>
        </w:rPr>
      </w:pPr>
    </w:p>
    <w:p>
      <w:pPr>
        <w:ind w:right="40" w:firstLine="1505"/>
        <w:spacing w:after="0" w:line="245" w:lineRule="auto"/>
        <w:tabs>
          <w:tab w:leader="none" w:pos="1893"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any Issuing Bank and the Administrative Agent (including any claim for the reasonable compensation, expenses, disbursements and advances of the Lenders, any Issuing Bank and the Administrative Agent and their respective agents and counsel and all other amounts due the Lenders, any Issuing Bank and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allowed in such judicial proceeding; and</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194"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Issuing Bank to make such payments to the Administrative Agent and, in the event that the Administrative Agent shall consent to the making of such payments directly to the Lenders and relevant Issuing Banks, to pay to the Administrative Agent any amount due for the reasonable compensation, expenses, disbursements and advances of the Agents and their respective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80" w:firstLine="1497"/>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80" w:lineRule="exact"/>
        <w:rPr>
          <w:sz w:val="20"/>
          <w:szCs w:val="20"/>
          <w:color w:val="auto"/>
        </w:rPr>
      </w:pPr>
    </w:p>
    <w:p>
      <w:pPr>
        <w:ind w:right="80" w:firstLine="1497"/>
        <w:spacing w:after="0" w:line="243" w:lineRule="auto"/>
        <w:rPr>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35" w:name="page336"/>
    <w:bookmarkEnd w:id="335"/>
    <w:p>
      <w:pPr>
        <w:ind w:right="40"/>
        <w:spacing w:after="0" w:line="241" w:lineRule="auto"/>
        <w:rPr>
          <w:sz w:val="20"/>
          <w:szCs w:val="20"/>
          <w:color w:val="auto"/>
        </w:rPr>
      </w:pPr>
      <w:r>
        <w:rPr>
          <w:rFonts w:ascii="Times New Roman" w:cs="Times New Roman" w:eastAsia="Times New Roman" w:hAnsi="Times New Roman"/>
          <w:sz w:val="20"/>
          <w:szCs w:val="20"/>
          <w:color w:val="auto"/>
        </w:rPr>
        <w:t>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the first proviso to </w:t>
      </w:r>
      <w:r>
        <w:rPr>
          <w:rFonts w:ascii="Times New Roman" w:cs="Times New Roman" w:eastAsia="Times New Roman" w:hAnsi="Times New Roman"/>
          <w:sz w:val="20"/>
          <w:szCs w:val="20"/>
          <w:u w:val="single" w:color="auto"/>
          <w:color w:val="auto"/>
        </w:rPr>
        <w:t>Section 10.01(1)</w:t>
      </w:r>
      <w:r>
        <w:rPr>
          <w:rFonts w:ascii="Times New Roman" w:cs="Times New Roman" w:eastAsia="Times New Roman" w:hAnsi="Times New Roman"/>
          <w:sz w:val="20"/>
          <w:szCs w:val="20"/>
          <w:color w:val="auto"/>
        </w:rPr>
        <w:t xml:space="preserve"> of this Agreement), (c)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(d)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2"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9.14</w:t>
      </w:r>
      <w:r>
        <w:rPr>
          <w:sz w:val="20"/>
          <w:szCs w:val="20"/>
          <w:color w:val="auto"/>
        </w:rPr>
        <w:tab/>
      </w:r>
      <w:r>
        <w:rPr>
          <w:rFonts w:ascii="Times New Roman" w:cs="Times New Roman" w:eastAsia="Times New Roman" w:hAnsi="Times New Roman"/>
          <w:sz w:val="19"/>
          <w:szCs w:val="19"/>
          <w:color w:val="auto"/>
        </w:rPr>
        <w:t>Appointment of Supplemental Administrative Agents.</w:t>
      </w:r>
    </w:p>
    <w:p>
      <w:pPr>
        <w:spacing w:after="0" w:line="216" w:lineRule="exact"/>
        <w:rPr>
          <w:sz w:val="20"/>
          <w:szCs w:val="20"/>
          <w:color w:val="auto"/>
        </w:rPr>
      </w:pPr>
    </w:p>
    <w:p>
      <w:pPr>
        <w:ind w:firstLine="1505"/>
        <w:spacing w:after="0" w:line="243" w:lineRule="auto"/>
        <w:tabs>
          <w:tab w:leader="none" w:pos="1893"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20"/>
          <w:szCs w:val="20"/>
          <w:b w:val="1"/>
          <w:bCs w:val="1"/>
          <w:color w:val="auto"/>
        </w:rPr>
        <w:t>Supplemental Administrative Agent</w:t>
      </w:r>
      <w:r>
        <w:rPr>
          <w:rFonts w:ascii="Times New Roman" w:cs="Times New Roman" w:eastAsia="Times New Roman" w:hAnsi="Times New Roman"/>
          <w:sz w:val="20"/>
          <w:szCs w:val="20"/>
          <w:color w:val="auto"/>
        </w:rPr>
        <w:t>” and collectively as “</w:t>
      </w:r>
      <w:r>
        <w:rPr>
          <w:rFonts w:ascii="Times New Roman" w:cs="Times New Roman" w:eastAsia="Times New Roman" w:hAnsi="Times New Roman"/>
          <w:sz w:val="20"/>
          <w:szCs w:val="20"/>
          <w:b w:val="1"/>
          <w:bCs w:val="1"/>
          <w:color w:val="auto"/>
        </w:rPr>
        <w:t>Supplemental Administrative Agents</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right="40" w:firstLine="1505"/>
        <w:spacing w:after="0" w:line="257" w:lineRule="auto"/>
        <w:tabs>
          <w:tab w:leader="none" w:pos="1893" w:val="left"/>
        </w:tabs>
        <w:numPr>
          <w:ilvl w:val="0"/>
          <w:numId w:val="4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Administrative Agent appoints a Supplemental Administrative Agent with respect to any Collateral, (a)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(b) the provisions of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and of </w:t>
      </w:r>
      <w:r>
        <w:rPr>
          <w:rFonts w:ascii="Times New Roman" w:cs="Times New Roman" w:eastAsia="Times New Roman" w:hAnsi="Times New Roman"/>
          <w:sz w:val="19"/>
          <w:szCs w:val="19"/>
          <w:u w:val="single" w:color="auto"/>
          <w:color w:val="auto"/>
        </w:rPr>
        <w:t>Sections 10.04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10.05</w:t>
      </w:r>
      <w:r>
        <w:rPr>
          <w:rFonts w:ascii="Times New Roman" w:cs="Times New Roman" w:eastAsia="Times New Roman" w:hAnsi="Times New Roman"/>
          <w:sz w:val="19"/>
          <w:szCs w:val="19"/>
          <w:color w:val="auto"/>
        </w:rPr>
        <w:t xml:space="preserve"> that refer to the Administrative Agent shall inure to the benefit of such Supplemental Administrative Agent and all references therein to the Administrative Agent shall be deemed to be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20"/>
          <w:szCs w:val="20"/>
          <w:color w:val="auto"/>
        </w:rPr>
        <w:t>references to the Administrative Agent or such Supplemental Administrative Agent, as the context may require.</w:t>
      </w:r>
    </w:p>
    <w:p>
      <w:pPr>
        <w:spacing w:after="0" w:line="216" w:lineRule="exact"/>
        <w:rPr>
          <w:sz w:val="20"/>
          <w:szCs w:val="20"/>
          <w:color w:val="auto"/>
        </w:rPr>
      </w:pPr>
    </w:p>
    <w:p>
      <w:pPr>
        <w:ind w:right="220" w:firstLine="1505"/>
        <w:spacing w:after="0" w:line="244" w:lineRule="auto"/>
        <w:tabs>
          <w:tab w:leader="none" w:pos="1893"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any instrument in writing from any Loan Party be reasonably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reasonably acceptable to it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8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SECTION 9.15 Intercreditor Agreements. The Administrative Agent and Collateral Agent are hereby authorized to enter into any Intercreditor Agreement to the extent contemplated by the terms hereof, and the parties hereto acknowledge that such Intercreditor Agreement is (and shall be) binding upon them. Each Secured Party (a) hereby agrees that it will be bound by and will take no actions contrary to the provisions of the Intercreditor Agreements, (b) hereby authorizes, instructs and directs the Administrative Agent and Collateral Agent to enter into the Intercreditor Agreements and to subject the Liens on the Collateral securing the Obligations to the provisions thereof and (c) without any further consent of the Lenders, hereby authorizes, instructs and directs the Administrative Agent and the Collateral Agent to negotiate, execute and deliver on behalf of the Secured Parties any intercreditor agreement or any amendment (or amendment and restatement) to the Collateral Documents or any Intercreditor Agreement contemplated hereunder (including any such amendment (or amendment and restatement) of any intercreditor agreement to provide for the incurrence of any Indebtedness permitted hereunder that will be secured on a junior lien or pari passu basis to the Obligations).</w:t>
      </w:r>
    </w:p>
    <w:p>
      <w:pPr>
        <w:spacing w:after="0" w:line="192" w:lineRule="exact"/>
        <w:rPr>
          <w:sz w:val="20"/>
          <w:szCs w:val="20"/>
          <w:color w:val="auto"/>
        </w:rPr>
      </w:pPr>
    </w:p>
    <w:p>
      <w:pPr>
        <w:ind w:right="20" w:firstLine="1497"/>
        <w:spacing w:after="0" w:line="242" w:lineRule="auto"/>
        <w:rPr>
          <w:sz w:val="20"/>
          <w:szCs w:val="20"/>
          <w:color w:val="auto"/>
        </w:rPr>
      </w:pPr>
      <w:r>
        <w:rPr>
          <w:rFonts w:ascii="Times New Roman" w:cs="Times New Roman" w:eastAsia="Times New Roman" w:hAnsi="Times New Roman"/>
          <w:sz w:val="20"/>
          <w:szCs w:val="20"/>
          <w:color w:val="auto"/>
        </w:rPr>
        <w:t xml:space="preserve">In addition, each Secured Party hereby authorizes and directs the Administrative Agent and the Collateral Agent to enter into (a) any amendments to any Intercreditor Agreements, and (b) any other intercreditor arrangements,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to the extent required to give effect to the establishment of intercreditor rights and privileges as contemplated and required or permitted by this Agreement (including any such amendment (or amendment and restatement) of any intercreditor agreement to provide for the incurrence of any Indebtedness permitted hereunder that will be secured on a junior lien or pari passu basis to the Obligations). Each Secured Party acknowledges and agrees that any of the Administrative Agent and Collateral Agent (or one or more of their respective Affiliates) may (but are not obligated to) act as the “Debt Representative” or like term for the holders of Credit Agreement Refinancing Indebtedness under the security agreements with respect thereto or any Intercreditor Agreement then in effect. Each Lender waives any conflict of interest, now contemplated or arising hereafter, in connection therewith and agrees not to assert against any Agent or any of its affiliates any claims, causes of action, damages or liabilities of whatever kind or nature relating thereto.</w:t>
      </w:r>
    </w:p>
    <w:p>
      <w:pPr>
        <w:spacing w:after="0" w:line="192" w:lineRule="exact"/>
        <w:rPr>
          <w:sz w:val="20"/>
          <w:szCs w:val="20"/>
          <w:color w:val="auto"/>
        </w:rPr>
      </w:pPr>
    </w:p>
    <w:p>
      <w:pPr>
        <w:ind w:right="30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9.16 Secured Cash Management Agreements and Secured Hedge Agreements. Except as otherwise expressly set forth herein or in any Guaranty or any Collateral Document, no Cash Management Bank or Hedge Bank that obtains the benefits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Obligations arising under Secured Cash Management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7" w:name="page338"/>
    <w:bookmarkEnd w:id="337"/>
    <w:p>
      <w:pPr>
        <w:spacing w:after="0" w:line="254" w:lineRule="auto"/>
        <w:rPr>
          <w:sz w:val="20"/>
          <w:szCs w:val="20"/>
          <w:color w:val="auto"/>
        </w:rPr>
      </w:pPr>
      <w:r>
        <w:rPr>
          <w:rFonts w:ascii="Times New Roman" w:cs="Times New Roman" w:eastAsia="Times New Roman" w:hAnsi="Times New Roman"/>
          <w:sz w:val="20"/>
          <w:szCs w:val="20"/>
          <w:color w:val="auto"/>
        </w:rPr>
        <w:t>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74" w:lineRule="exact"/>
        <w:rPr>
          <w:sz w:val="20"/>
          <w:szCs w:val="20"/>
          <w:color w:val="auto"/>
        </w:rPr>
      </w:pPr>
    </w:p>
    <w:p>
      <w:pPr>
        <w:ind w:right="20" w:firstLine="1497"/>
        <w:spacing w:after="0"/>
        <w:rPr>
          <w:sz w:val="20"/>
          <w:szCs w:val="20"/>
          <w:color w:val="auto"/>
        </w:rPr>
      </w:pPr>
      <w:r>
        <w:rPr>
          <w:rFonts w:ascii="Times New Roman" w:cs="Times New Roman" w:eastAsia="Times New Roman" w:hAnsi="Times New Roman"/>
          <w:sz w:val="20"/>
          <w:szCs w:val="20"/>
          <w:color w:val="auto"/>
        </w:rPr>
        <w:t xml:space="preserve">SECTION 9.17 Withholding Tax. To the extent required by any applicable Laws, the Administrative Agent may withhold from any payment to any Lender an amount equivalent to any applicable withholding Tax. Without limiting or expanding the provisions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each Lender shall indemnify and hold harmless the Administrative Agent against, and shall make payable in respect thereof within ten (10) days after demand therefor, all Taxes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whether or not such Taxes are correctly or legally imposed or asserted. Each Lender shall severally indemnify the Administrative Agent within 10 days after demand therefor, for (a) any Non-Excluded Taxes attributable to such Lender (but only to the extent that any Loan Party has not already indemnified the Administrative Agent for such Non-Excluded Taxes and without limiting the obligation of the Loan Parties to do so), (b) any Taxes attributable to such Lender’s failure to comply with the provisions of </w:t>
      </w:r>
      <w:r>
        <w:rPr>
          <w:rFonts w:ascii="Times New Roman" w:cs="Times New Roman" w:eastAsia="Times New Roman" w:hAnsi="Times New Roman"/>
          <w:sz w:val="20"/>
          <w:szCs w:val="20"/>
          <w:u w:val="single" w:color="auto"/>
          <w:color w:val="auto"/>
        </w:rPr>
        <w:t>Section 10.07(5)</w:t>
      </w:r>
      <w:r>
        <w:rPr>
          <w:rFonts w:ascii="Times New Roman" w:cs="Times New Roman" w:eastAsia="Times New Roman" w:hAnsi="Times New Roman"/>
          <w:sz w:val="20"/>
          <w:szCs w:val="20"/>
          <w:color w:val="auto"/>
        </w:rPr>
        <w:t xml:space="preserve"> relating to the maintenance of a Participant Register and (c)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shall survive the resignation or replacement of the Administrative Agent, any assignment of rights by, or the replacement of, a Lender, the termination of the Commitments and the repayment, satisfaction or discharge of all other Obligations. For purposes of this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the term “Lender” includes any Issuing Bank and any Swing Line Lender.</w:t>
      </w:r>
    </w:p>
    <w:p>
      <w:pPr>
        <w:spacing w:after="0" w:line="206"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9.18</w:t>
      </w:r>
      <w:r>
        <w:rPr>
          <w:sz w:val="20"/>
          <w:szCs w:val="20"/>
          <w:color w:val="auto"/>
        </w:rPr>
        <w:tab/>
      </w:r>
      <w:r>
        <w:rPr>
          <w:rFonts w:ascii="Times New Roman" w:cs="Times New Roman" w:eastAsia="Times New Roman" w:hAnsi="Times New Roman"/>
          <w:sz w:val="19"/>
          <w:szCs w:val="19"/>
          <w:color w:val="auto"/>
        </w:rPr>
        <w:t>Return of Payments.</w:t>
      </w:r>
    </w:p>
    <w:p>
      <w:pPr>
        <w:spacing w:after="0" w:line="216" w:lineRule="exact"/>
        <w:rPr>
          <w:sz w:val="20"/>
          <w:szCs w:val="20"/>
          <w:color w:val="auto"/>
        </w:rPr>
      </w:pPr>
    </w:p>
    <w:p>
      <w:pPr>
        <w:ind w:firstLine="1505"/>
        <w:spacing w:after="0" w:line="249" w:lineRule="auto"/>
        <w:tabs>
          <w:tab w:leader="none" w:pos="1893"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Administrative Agent pays an amount to a Lender under this Agreement in the reasonable belief or expectation that a related payment has been or will be received by Administrative Agent from the Borrower and such related payment is not received by Administrative Agent, then Administrative Agent will be entitled to recover such amount from such Lender on demand without setoff, counterclaim, defense, or deduction of any kind.</w:t>
      </w:r>
    </w:p>
    <w:p>
      <w:pPr>
        <w:spacing w:after="0" w:line="179" w:lineRule="exact"/>
        <w:rPr>
          <w:rFonts w:ascii="Times New Roman" w:cs="Times New Roman" w:eastAsia="Times New Roman" w:hAnsi="Times New Roman"/>
          <w:sz w:val="20"/>
          <w:szCs w:val="20"/>
          <w:color w:val="auto"/>
        </w:rPr>
      </w:pPr>
    </w:p>
    <w:p>
      <w:pPr>
        <w:ind w:right="40" w:firstLine="1505"/>
        <w:spacing w:after="0" w:line="259" w:lineRule="auto"/>
        <w:tabs>
          <w:tab w:leader="none" w:pos="1893" w:val="left"/>
        </w:tabs>
        <w:numPr>
          <w:ilvl w:val="0"/>
          <w:numId w:val="4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Administrative Agent determines at any time that any amount received by Administrative Agent under this Agreement or any other Loan Document must be returned to any Loan Party or paid to any other Person pursuant to any insolvency law or otherwise, then, notwithstanding any other term or condition of this Agreement or any other Loan Document, Administrative Agent will not be required to distribute any portion thereof to any Lender. In addition, each Lender will repay to Administrative Agent on demand any portion of such amount that Administrative Agent has distributed to such Lender, together with interest at such rate, if any, as Administrative Agent is required to pay to the Borrower or such other Person, without setoff, counterclaim or deduction of any kind, and Administrative Agent will be entitled to set-off against future distributions to such Lender any such amounts (with interest) that are not repaid on demand.</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38" w:name="page339"/>
    <w:bookmarkEnd w:id="338"/>
    <w:p>
      <w:pPr>
        <w:ind w:left="-20" w:firstLine="1505"/>
        <w:spacing w:after="0" w:line="241" w:lineRule="auto"/>
        <w:tabs>
          <w:tab w:leader="none" w:pos="1873"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the Administrative Agent notifies a Lender, Issuing Bank, or other Secured Party, or any Person who has received funds on behalf of a Lender, Issuing Bank, or other Secured Party (any such Lender, Issuing Bank, other Secured Party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Issuing Bank, other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xml:space="preserve">”) and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 xml:space="preserve"> and held in trust for the benefit of the Administrative Agent, and such Lender, Issuing Bank, or other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0"/>
          <w:szCs w:val="20"/>
          <w:u w:val="single" w:color="auto"/>
          <w:color w:val="auto"/>
        </w:rPr>
        <w:t>Section 9.18(c)(i)</w:t>
      </w:r>
      <w:r>
        <w:rPr>
          <w:rFonts w:ascii="Times New Roman" w:cs="Times New Roman" w:eastAsia="Times New Roman" w:hAnsi="Times New Roman"/>
          <w:sz w:val="20"/>
          <w:szCs w:val="20"/>
          <w:color w:val="auto"/>
        </w:rPr>
        <w:t xml:space="preserve"> shall be conclusive, absent manifest error.</w:t>
      </w:r>
    </w:p>
    <w:p>
      <w:pPr>
        <w:spacing w:after="0" w:line="191" w:lineRule="exact"/>
        <w:rPr>
          <w:rFonts w:ascii="Times New Roman" w:cs="Times New Roman" w:eastAsia="Times New Roman" w:hAnsi="Times New Roman"/>
          <w:sz w:val="20"/>
          <w:szCs w:val="20"/>
          <w:color w:val="auto"/>
        </w:rPr>
      </w:pPr>
    </w:p>
    <w:p>
      <w:pPr>
        <w:ind w:left="740" w:right="20" w:firstLine="1644"/>
        <w:spacing w:after="0" w:line="257" w:lineRule="auto"/>
        <w:tabs>
          <w:tab w:leader="none" w:pos="2783" w:val="left"/>
        </w:tabs>
        <w:numPr>
          <w:ilvl w:val="1"/>
          <w:numId w:val="4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immediately preceding </w:t>
      </w:r>
      <w:r>
        <w:rPr>
          <w:rFonts w:ascii="Times New Roman" w:cs="Times New Roman" w:eastAsia="Times New Roman" w:hAnsi="Times New Roman"/>
          <w:sz w:val="19"/>
          <w:szCs w:val="19"/>
          <w:u w:val="single" w:color="auto"/>
          <w:color w:val="auto"/>
        </w:rPr>
        <w:t>Section 9.18(c)(i)</w:t>
      </w:r>
      <w:r>
        <w:rPr>
          <w:rFonts w:ascii="Times New Roman" w:cs="Times New Roman" w:eastAsia="Times New Roman" w:hAnsi="Times New Roman"/>
          <w:sz w:val="19"/>
          <w:szCs w:val="19"/>
          <w:color w:val="auto"/>
        </w:rPr>
        <w:t>,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Times New Roman" w:cs="Times New Roman" w:eastAsia="Times New Roman" w:hAnsi="Times New Roman"/>
          <w:sz w:val="19"/>
          <w:szCs w:val="19"/>
          <w:u w:val="single" w:color="auto"/>
          <w:color w:val="auto"/>
        </w:rPr>
        <w:t>Payment Notice</w:t>
      </w:r>
      <w:r>
        <w:rPr>
          <w:rFonts w:ascii="Times New Roman" w:cs="Times New Roman" w:eastAsia="Times New Roman" w:hAnsi="Times New Roman"/>
          <w:sz w:val="19"/>
          <w:szCs w:val="19"/>
          <w:color w:val="auto"/>
        </w:rPr>
        <w:t>”), (y) that was not preceded or accompanied by a Payment Notice, or (z) that such Payment Recipient otherwise becomes aware was transmitted, or received, in error or by mistake (in whole or in part) in each case, then (1) in the case of immediately preceding clauses (x) or (y), an error shall be presumed to have been made (absent written confirmation from the Administrative Agent to the contrary) or (2) an error has been made (in the case of immediately preceding clause (z)), in each case, with respect to such payment, prepayment or repayment.</w:t>
      </w:r>
    </w:p>
    <w:p>
      <w:pPr>
        <w:spacing w:after="0" w:line="175" w:lineRule="exact"/>
        <w:rPr>
          <w:rFonts w:ascii="Times New Roman" w:cs="Times New Roman" w:eastAsia="Times New Roman" w:hAnsi="Times New Roman"/>
          <w:sz w:val="19"/>
          <w:szCs w:val="19"/>
          <w:color w:val="auto"/>
        </w:rPr>
      </w:pPr>
    </w:p>
    <w:p>
      <w:pPr>
        <w:ind w:left="740" w:right="180" w:firstLine="1644"/>
        <w:spacing w:after="0" w:line="249" w:lineRule="auto"/>
        <w:tabs>
          <w:tab w:leader="none" w:pos="2783" w:val="left"/>
        </w:tabs>
        <w:numPr>
          <w:ilvl w:val="1"/>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Issuing Bank and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w:t>
      </w:r>
      <w:r>
        <w:rPr>
          <w:rFonts w:ascii="Times New Roman" w:cs="Times New Roman" w:eastAsia="Times New Roman" w:hAnsi="Times New Roman"/>
          <w:sz w:val="20"/>
          <w:szCs w:val="20"/>
          <w:u w:val="single" w:color="auto"/>
          <w:color w:val="auto"/>
        </w:rPr>
        <w:t>Section 9.18(c)(i)</w:t>
      </w:r>
      <w:r>
        <w:rPr>
          <w:rFonts w:ascii="Times New Roman" w:cs="Times New Roman" w:eastAsia="Times New Roman" w:hAnsi="Times New Roman"/>
          <w:sz w:val="20"/>
          <w:szCs w:val="20"/>
          <w:color w:val="auto"/>
        </w:rPr>
        <w:t xml:space="preserve"> above.</w:t>
      </w:r>
    </w:p>
    <w:p>
      <w:pPr>
        <w:spacing w:after="0" w:line="179" w:lineRule="exact"/>
        <w:rPr>
          <w:rFonts w:ascii="Times New Roman" w:cs="Times New Roman" w:eastAsia="Times New Roman" w:hAnsi="Times New Roman"/>
          <w:sz w:val="20"/>
          <w:szCs w:val="20"/>
          <w:color w:val="auto"/>
        </w:rPr>
      </w:pPr>
    </w:p>
    <w:p>
      <w:pPr>
        <w:ind w:left="740" w:firstLine="1644"/>
        <w:spacing w:after="0" w:line="260" w:lineRule="auto"/>
        <w:tabs>
          <w:tab w:leader="none" w:pos="2783" w:val="left"/>
        </w:tabs>
        <w:numPr>
          <w:ilvl w:val="1"/>
          <w:numId w:val="4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other Loan Party hereby agree that (x) in the event an Erroneous Payment (or portion thereof) is not recovered from any Payment Recipient that has received such Erroneous Payment (or portion thereof) for any reason, the Administrative Agent shall be contractually subrogated (irrespective of whether the Administrative Agent may be equitably subrogated) to all the rights of such Lender, Issuing Bank, or other Secured Party under the Loan Documents with respect to such amount, (y) an Erroneous Payment shall not pay, prepay, repay, discharge or otherwise satisfy any Obligations owed by the Borrower or any other Loan Party, except, in each case, to the extent such Erroneous Payment is, and solely with respect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339" w:name="page340"/>
    <w:bookmarkEnd w:id="339"/>
    <w:p>
      <w:pPr>
        <w:ind w:left="760"/>
        <w:spacing w:after="0" w:line="243" w:lineRule="auto"/>
        <w:rPr>
          <w:sz w:val="20"/>
          <w:szCs w:val="20"/>
          <w:color w:val="auto"/>
        </w:rPr>
      </w:pPr>
      <w:r>
        <w:rPr>
          <w:rFonts w:ascii="Times New Roman" w:cs="Times New Roman" w:eastAsia="Times New Roman" w:hAnsi="Times New Roman"/>
          <w:sz w:val="20"/>
          <w:szCs w:val="20"/>
          <w:color w:val="auto"/>
        </w:rPr>
        <w:t>to the amount of such Erroneous Payment that is, comprised of funds received by the Administrative Agent from the Borrower or any other Loan Party for the purpose of making a payment on the Obligations, and (z) to the extent that an Erroneous Payment was in any way or at any time credited as a payment or satisfaction of any of the Obligations, the Obligations or part thereof that were so credited, and all rights of the applicable Lender, Issuing Bank, other Secured Party or Administrative Agent, as the case may be, shall be reinstated and continue in full force and effect as if such payment or satisfaction had never been received; provided, however, the amount of such Erroneous Payment that is comprised of funds received by the Administrative Agent from the Borrower or any other Loan Party for the purpose of making a payment on the Obligations shall be credited as a payment or satisfaction of the Obligations and the Obligations or part thereof that were so credited shall not be reinstated.</w:t>
      </w:r>
    </w:p>
    <w:p>
      <w:pPr>
        <w:spacing w:after="0" w:line="189" w:lineRule="exact"/>
        <w:rPr>
          <w:sz w:val="20"/>
          <w:szCs w:val="20"/>
          <w:color w:val="auto"/>
        </w:rPr>
      </w:pPr>
    </w:p>
    <w:p>
      <w:pPr>
        <w:ind w:left="760" w:right="60" w:firstLine="1644"/>
        <w:spacing w:after="0" w:line="249" w:lineRule="auto"/>
        <w:tabs>
          <w:tab w:leader="none" w:pos="2803"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20"/>
          <w:szCs w:val="20"/>
          <w:color w:val="auto"/>
        </w:rPr>
      </w:pPr>
    </w:p>
    <w:p>
      <w:pPr>
        <w:ind w:left="760" w:right="100" w:firstLine="1644"/>
        <w:spacing w:after="0" w:line="249" w:lineRule="auto"/>
        <w:tabs>
          <w:tab w:leader="none" w:pos="2803"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9.18(c)</w:t>
      </w:r>
      <w:r>
        <w:rPr>
          <w:rFonts w:ascii="Times New Roman" w:cs="Times New Roman" w:eastAsia="Times New Roman" w:hAnsi="Times New Roman"/>
          <w:sz w:val="20"/>
          <w:szCs w:val="20"/>
          <w:color w:val="auto"/>
        </w:rPr>
        <w:t xml:space="preserve"> shall survive the resignation or replacement of the Administrative Agent or any transfer of rights or obligations by, or the replacement of, a Lender, Issuing Bank, or other Secured Party, the termination of any Commitment or the repayment, satisfaction or discharge of all Obligations (or any portion thereof) under any Loan Document.</w:t>
      </w:r>
    </w:p>
    <w:p>
      <w:pPr>
        <w:spacing w:after="0" w:line="180"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 xml:space="preserve"> shall not apply to the disbursement of any proceeds of a Loan unless otherwise expressly agreed in writing by the Borrower. In addition, (i) no payment of Obligations made in accordance with this Agreement with funds received by the Administrative Agent from the Borrower or any other Loan Party for the purpose of satisfying such Obligations shall constitute an Erroneous Payment, unless otherwise expressly agreed in writing by the Borrower and (ii) without limiting clause (iv) above and notwithstanding anything to the contrary herein or in any other Loan Document, the Borrower and the Loan Parties shall have no obligations, liabilities or responsibilities for any losses, claims, damages, liabilities, expenses, actions, consequences or remediation (including the repayment or recovery of any amounts) arising out of, resulting from or in connection with any Erroneous Payment or any such actions or inactions of any Payment Recipient in respect of any Erroneous Payment.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Article X</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2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10.01</w:t>
      </w:r>
      <w:r>
        <w:rPr>
          <w:sz w:val="20"/>
          <w:szCs w:val="20"/>
          <w:color w:val="auto"/>
        </w:rPr>
        <w:tab/>
      </w:r>
      <w:r>
        <w:rPr>
          <w:rFonts w:ascii="Times New Roman" w:cs="Times New Roman" w:eastAsia="Times New Roman" w:hAnsi="Times New Roman"/>
          <w:sz w:val="19"/>
          <w:szCs w:val="19"/>
          <w:color w:val="auto"/>
        </w:rPr>
        <w:t>Amendments, Etc.</w:t>
      </w:r>
    </w:p>
    <w:p>
      <w:pPr>
        <w:spacing w:after="0" w:line="216" w:lineRule="exact"/>
        <w:rPr>
          <w:sz w:val="20"/>
          <w:szCs w:val="20"/>
          <w:color w:val="auto"/>
        </w:rPr>
      </w:pPr>
    </w:p>
    <w:p>
      <w:pPr>
        <w:ind w:right="100" w:firstLine="1505"/>
        <w:spacing w:after="0" w:line="256" w:lineRule="auto"/>
        <w:tabs>
          <w:tab w:leader="none" w:pos="1893" w:val="left"/>
        </w:tabs>
        <w:numPr>
          <w:ilvl w:val="1"/>
          <w:numId w:val="4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(other than (x) with respect to any amendment or waiver contemplated in </w:t>
      </w:r>
      <w:r>
        <w:rPr>
          <w:rFonts w:ascii="Times New Roman" w:cs="Times New Roman" w:eastAsia="Times New Roman" w:hAnsi="Times New Roman"/>
          <w:sz w:val="19"/>
          <w:szCs w:val="19"/>
          <w:u w:val="single" w:color="auto"/>
          <w:color w:val="auto"/>
        </w:rPr>
        <w:t>clauses (g)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below (in the case of </w:t>
      </w:r>
      <w:r>
        <w:rPr>
          <w:rFonts w:ascii="Times New Roman" w:cs="Times New Roman" w:eastAsia="Times New Roman" w:hAnsi="Times New Roman"/>
          <w:sz w:val="19"/>
          <w:szCs w:val="19"/>
          <w:u w:val="single" w:color="auto"/>
          <w:color w:val="auto"/>
        </w:rPr>
        <w:t>clause (j)</w:t>
      </w:r>
      <w:r>
        <w:rPr>
          <w:rFonts w:ascii="Times New Roman" w:cs="Times New Roman" w:eastAsia="Times New Roman" w:hAnsi="Times New Roman"/>
          <w:sz w:val="19"/>
          <w:szCs w:val="19"/>
          <w:color w:val="auto"/>
        </w:rPr>
        <w:t xml:space="preserve">, to the extent permitted by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but subject to the last proviso in such clause (j)), which shall only require the consent of the Required Facility Lenders under the applicable Facility or Facilities, as applicable (and not the Required Lenders),</w:t>
      </w:r>
    </w:p>
    <w:p>
      <w:pPr>
        <w:spacing w:after="0" w:line="4" w:lineRule="exact"/>
        <w:rPr>
          <w:rFonts w:ascii="Times New Roman" w:cs="Times New Roman" w:eastAsia="Times New Roman" w:hAnsi="Times New Roman"/>
          <w:sz w:val="19"/>
          <w:szCs w:val="19"/>
          <w:color w:val="auto"/>
        </w:rPr>
      </w:pPr>
    </w:p>
    <w:p>
      <w:pPr>
        <w:ind w:right="480" w:firstLine="8"/>
        <w:spacing w:after="0" w:line="246" w:lineRule="auto"/>
        <w:tabs>
          <w:tab w:leader="none" w:pos="280"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amendment or waiver contemplated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which shall only require the consent of the Lenders expressly set forth therein and not the Required Lenders (or by the Administrative Agent with the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40" w:name="page341"/>
    <w:bookmarkEnd w:id="340"/>
    <w:p>
      <w:pPr>
        <w:ind w:right="20"/>
        <w:spacing w:after="0" w:line="256" w:lineRule="auto"/>
        <w:rPr>
          <w:sz w:val="20"/>
          <w:szCs w:val="20"/>
          <w:color w:val="auto"/>
        </w:rPr>
      </w:pPr>
      <w:r>
        <w:rPr>
          <w:rFonts w:ascii="Times New Roman" w:cs="Times New Roman" w:eastAsia="Times New Roman" w:hAnsi="Times New Roman"/>
          <w:sz w:val="19"/>
          <w:szCs w:val="19"/>
          <w:color w:val="auto"/>
        </w:rPr>
        <w:t xml:space="preserve">consent of the Required Lenders) and (z) with respect to any amendment pursuant to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which shall only require the consent of the Administrative Agent and the Borrower, or as otherwise provided in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and the Borrower or the applicable Loan Party, as the case may be, and acknowledged by the Administrative Agent, and the Administrative Agent hereby agrees to acknowledge any such waiver, consent or amendment that otherwise satisfies the requirements of this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as promptly as possible, however, to the extent the final form of such waiver, consent or amendment has been delivered to the Administrative Agent at least one Business Day prior to the proposed effectiveness of the consents by the Lenders party thereto, the Administrative Agent shall acknowledge such waiver, consent or amendment</w:t>
      </w:r>
    </w:p>
    <w:p>
      <w:pPr>
        <w:spacing w:after="0" w:line="1" w:lineRule="exact"/>
        <w:rPr>
          <w:sz w:val="20"/>
          <w:szCs w:val="20"/>
          <w:color w:val="auto"/>
        </w:rPr>
      </w:pPr>
    </w:p>
    <w:p>
      <w:pPr>
        <w:ind w:right="140" w:firstLine="8"/>
        <w:spacing w:after="0"/>
        <w:tabs>
          <w:tab w:leader="none" w:pos="236"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in the case of any amendment which does not require the consent of any existing Lender under this Agreement or (ii) otherwise, within two hours of the time copies of the Required Lender consents or other applicable Lender consents required by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have been provided to the Administrative Agent, it being understood that with respect to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if the applicable waiver, consent or amendment has not been acknowledged by the Administrative Agent in the time frames provided, the Administrative Agent shall be deemed to have acknowledged such applicable waiver, consent or amendment; and each such waiver or consent shall be effective only in the specific instance and for the specific purpose for which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amendment, waiver or consent shall:</w:t>
      </w:r>
    </w:p>
    <w:p>
      <w:pPr>
        <w:spacing w:after="0" w:line="190" w:lineRule="exact"/>
        <w:rPr>
          <w:rFonts w:ascii="Times New Roman" w:cs="Times New Roman" w:eastAsia="Times New Roman" w:hAnsi="Times New Roman"/>
          <w:sz w:val="20"/>
          <w:szCs w:val="20"/>
          <w:color w:val="auto"/>
        </w:rPr>
      </w:pPr>
    </w:p>
    <w:p>
      <w:pPr>
        <w:ind w:right="300" w:firstLine="1880"/>
        <w:spacing w:after="0" w:line="274" w:lineRule="auto"/>
        <w:tabs>
          <w:tab w:leader="none" w:pos="2268" w:val="left"/>
        </w:tabs>
        <w:numPr>
          <w:ilvl w:val="1"/>
          <w:numId w:val="4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extend or increase the Commitment of any Lender without the written consent of such Lender (it being understood that a waiver of any condition precedent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the waiver of any Default, Event of Default, mandatory prepayment or mandatory reduction of the Commitments shall not constitute an extension or increase of any Commitment of any Lender);</w:t>
      </w:r>
    </w:p>
    <w:p>
      <w:pPr>
        <w:spacing w:after="0" w:line="156" w:lineRule="exact"/>
        <w:rPr>
          <w:rFonts w:ascii="Times New Roman" w:cs="Times New Roman" w:eastAsia="Times New Roman" w:hAnsi="Times New Roman"/>
          <w:sz w:val="19"/>
          <w:szCs w:val="19"/>
          <w:color w:val="auto"/>
        </w:rPr>
      </w:pPr>
    </w:p>
    <w:p>
      <w:pPr>
        <w:ind w:right="20" w:firstLine="1880"/>
        <w:spacing w:after="0" w:line="243" w:lineRule="auto"/>
        <w:tabs>
          <w:tab w:leader="none" w:pos="2268"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postpone any date scheduled for, or reduce the amount of, any payment of principal or interest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2.08</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2.08(2)</w:t>
      </w:r>
      <w:r>
        <w:rPr>
          <w:rFonts w:ascii="Times New Roman" w:cs="Times New Roman" w:eastAsia="Times New Roman" w:hAnsi="Times New Roman"/>
          <w:sz w:val="20"/>
          <w:szCs w:val="20"/>
          <w:color w:val="auto"/>
        </w:rPr>
        <w:t xml:space="preserve">) or any payment of fees or premiums hereunder or under any Loan Document with respect to payments to any Lender without the written consent of such Lender, it being understood that none of the following will constitute a postponement of any date scheduled for, or a reduction in the amount of, any payment of principal, interest, fees or premiums: (i) the waiver of (or amendment to the terms of) any mandatory prepayment of the Loans, (ii) the waiver of any Default or Event of Default (other than the waiver of any Default or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and (iii) any change to the definition of “First Lien Net Leverage Ratio,” “Secured Net Leverage Ratio,” “Total Net Leverage Ratio” or “Interest Coverage Ratio” or, in each case, in the component definitions thereof;</w:t>
      </w:r>
    </w:p>
    <w:p>
      <w:pPr>
        <w:spacing w:after="0" w:line="189" w:lineRule="exact"/>
        <w:rPr>
          <w:rFonts w:ascii="Times New Roman" w:cs="Times New Roman" w:eastAsia="Times New Roman" w:hAnsi="Times New Roman"/>
          <w:sz w:val="20"/>
          <w:szCs w:val="20"/>
          <w:color w:val="auto"/>
        </w:rPr>
      </w:pPr>
    </w:p>
    <w:p>
      <w:pPr>
        <w:ind w:right="40" w:firstLine="1880"/>
        <w:spacing w:after="0" w:line="243" w:lineRule="auto"/>
        <w:tabs>
          <w:tab w:leader="none" w:pos="2268"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Unreimbursed Amount, or any fees or other amounts payable hereunder or under any other Loan Document to any Lender without the written consent of such Lender, it being understood that none of the following will constitute a reduction in any rate of interest or any fees: any change to the definition of “First Lien Net Leverage Ratio,” “Secured Net Leverage Ratio,” “Total Net Leverage Ratio” or “Interest Coverage Ratio” or, in each case, in the component definitions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only the consent of (i) with respect to any Default Rate payable in respect of any Facility (including the Revolving Facility), only the consent of the Required Facility Lenders under such Facility shall be necessary to amend the definition of “Default Rate” or waive any obligation of the Borrower to pay interest at the Default Rate and (ii) only the consent of the Swing Line Lender shall be necessary to waive any obligation of the Borrower to pay interest at the Default Rate payable in respect of the Swing Line Facility;</w:t>
      </w:r>
    </w:p>
    <w:p>
      <w:pPr>
        <w:spacing w:after="0" w:line="185" w:lineRule="exact"/>
        <w:rPr>
          <w:rFonts w:ascii="Times New Roman" w:cs="Times New Roman" w:eastAsia="Times New Roman" w:hAnsi="Times New Roman"/>
          <w:sz w:val="20"/>
          <w:szCs w:val="20"/>
          <w:color w:val="auto"/>
        </w:rPr>
      </w:pPr>
    </w:p>
    <w:p>
      <w:pPr>
        <w:jc w:val="both"/>
        <w:ind w:firstLine="1880"/>
        <w:spacing w:after="0" w:line="254" w:lineRule="auto"/>
        <w:tabs>
          <w:tab w:leader="none" w:pos="2268"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contemplated by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in the second proviso immediately succeeding </w:t>
      </w:r>
      <w:r>
        <w:rPr>
          <w:rFonts w:ascii="Times New Roman" w:cs="Times New Roman" w:eastAsia="Times New Roman" w:hAnsi="Times New Roman"/>
          <w:sz w:val="20"/>
          <w:szCs w:val="20"/>
          <w:u w:val="single" w:color="auto"/>
          <w:color w:val="auto"/>
        </w:rPr>
        <w:t>Section 10.01(1)(k)</w:t>
      </w:r>
      <w:r>
        <w:rPr>
          <w:rFonts w:ascii="Times New Roman" w:cs="Times New Roman" w:eastAsia="Times New Roman" w:hAnsi="Times New Roman"/>
          <w:sz w:val="20"/>
          <w:szCs w:val="20"/>
          <w:color w:val="auto"/>
        </w:rPr>
        <w:t>, change any provision of this Section 10.01 or the definition of “Required Lenders”, “Required Revolving Lenders” or “Required Facility Lenders” or any other provision specifying the number of Lenders or portion of the Loans or Commitments required to take any action</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20"/>
          <w:szCs w:val="20"/>
          <w:color w:val="auto"/>
        </w:rPr>
        <w:t>under the Loan Documents, without the written consent of each Lender directly and adversely affected thereby;</w:t>
      </w:r>
    </w:p>
    <w:p>
      <w:pPr>
        <w:spacing w:after="0" w:line="216" w:lineRule="exact"/>
        <w:rPr>
          <w:sz w:val="20"/>
          <w:szCs w:val="20"/>
          <w:color w:val="auto"/>
        </w:rPr>
      </w:pPr>
    </w:p>
    <w:p>
      <w:pPr>
        <w:jc w:val="both"/>
        <w:ind w:right="60" w:firstLine="1880"/>
        <w:spacing w:after="0" w:line="254" w:lineRule="auto"/>
        <w:tabs>
          <w:tab w:leader="none" w:pos="2268"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in a transaction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or in a transaction that is a Permitted Investment, in each case, as in effect on the Closing Date, release all or substantially all of the aggregate value of, or Liens on, the Collateral in any transaction or series of related transactions, without the written consent of each Lender;</w:t>
      </w:r>
    </w:p>
    <w:p>
      <w:pPr>
        <w:spacing w:after="0" w:line="174" w:lineRule="exact"/>
        <w:rPr>
          <w:rFonts w:ascii="Times New Roman" w:cs="Times New Roman" w:eastAsia="Times New Roman" w:hAnsi="Times New Roman"/>
          <w:sz w:val="20"/>
          <w:szCs w:val="20"/>
          <w:color w:val="auto"/>
        </w:rPr>
      </w:pPr>
    </w:p>
    <w:p>
      <w:pPr>
        <w:jc w:val="both"/>
        <w:ind w:right="60" w:firstLine="1880"/>
        <w:spacing w:after="0" w:line="254" w:lineRule="auto"/>
        <w:tabs>
          <w:tab w:leader="none" w:pos="2268"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in a transaction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or in a transaction that is a Permitted Investment, in each case, as in effect on the Closing Date, release all or substantially all of the aggregate value of, or Liens on, the Guaranty or the Guarantors, without the written consent of each Lender;</w:t>
      </w:r>
    </w:p>
    <w:p>
      <w:pPr>
        <w:spacing w:after="0" w:line="174"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80" w:firstLine="1880"/>
        <w:spacing w:after="0" w:line="244" w:lineRule="auto"/>
        <w:tabs>
          <w:tab w:leader="none" w:pos="2268"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waive or otherwise modify any term or provision which directly affects Lenders under one or more Facilities and does not directly affect Lenders under any other Facilities, in each case, without the written consent of the Required Facility Lenders under such applicable Facility or Facilities (and in the case of multiple Facilities which are affected, such Required Facility Lenders shall consent together as one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however, that the amendments, waivers or other modifications described in this clause (h) shall not require the consent of the Required Lenders or any other Lenders other than the Required Facility Lenders under the applicable Facility or Facilities (it being understood that any amendment to the conditions of effectiveness of Incremental Commitments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subject to clause (j) below);</w:t>
      </w:r>
    </w:p>
    <w:p>
      <w:pPr>
        <w:spacing w:after="0" w:line="185" w:lineRule="exact"/>
        <w:rPr>
          <w:rFonts w:ascii="Times New Roman" w:cs="Times New Roman" w:eastAsia="Times New Roman" w:hAnsi="Times New Roman"/>
          <w:sz w:val="20"/>
          <w:szCs w:val="20"/>
          <w:color w:val="auto"/>
        </w:rPr>
      </w:pPr>
    </w:p>
    <w:p>
      <w:pPr>
        <w:ind w:firstLine="1880"/>
        <w:spacing w:after="0" w:line="244" w:lineRule="auto"/>
        <w:tabs>
          <w:tab w:leader="none" w:pos="2268"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waive or otherwise modify any term or provision which directly affects Lenders under one or more Term Facilities and does not directly affect Lenders under any other Facilities, in each case, without the written consent of the Required Facility Lenders under such applicable Term Facility or Facilities (and in the case of multiple Term Facilities which are affected, such Required Facility Lenders shall consent together as one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amendments, waivers or other modifications described in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shall not require the consent of the Required Lenders or any other Lenders other than the Required Facility Lenders under the applicable Term Facility or Facilities (it being understood that any amendment to the conditions of effectiveness of Incremental Commitments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subject to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below);</w:t>
      </w:r>
    </w:p>
    <w:p>
      <w:pPr>
        <w:spacing w:after="0" w:line="185" w:lineRule="exact"/>
        <w:rPr>
          <w:rFonts w:ascii="Times New Roman" w:cs="Times New Roman" w:eastAsia="Times New Roman" w:hAnsi="Times New Roman"/>
          <w:sz w:val="20"/>
          <w:szCs w:val="20"/>
          <w:color w:val="auto"/>
        </w:rPr>
      </w:pPr>
    </w:p>
    <w:p>
      <w:pPr>
        <w:ind w:right="60" w:firstLine="1880"/>
        <w:spacing w:after="0" w:line="242" w:lineRule="auto"/>
        <w:tabs>
          <w:tab w:leader="none" w:pos="2268"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waive or otherwise modify any term or provision (including the availability and conditions to funding (subject to the requirements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with respect to Incremental Term Loans and Incremental Revolving Commitments, but excluding the rate of interest applicable thereto which shall be subject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which directly affects Lenders of one or more Incremental Term Loans or Incremental Revolving Commitments and does not directly affect Lenders under any other Facility, in each case, without the written consent of the Required Facility Lenders under such applicable Incremental Term Loans or Incremental Revolving Commitments (and in the case of multiple Facilities which are affected, such Required Facility Lenders shall consent together as one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to the extent permitted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no amendments or waivers described in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shall require the consent of the Required Lenders or any other Lenders and shall only require the consent of the Required Facility Lenders under such applicable Incremental Term Loans or Incremental Revolving Commitments, including to the extent such amendment or waiver includes provisions that benefit the Lenders under any other Facility and are not adverse to such other Lenders (subject to any consent of the Administrative Agent required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notwithstanding the foregoing, the amount that can be incurred (whether pursuant to</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42" w:name="page343"/>
    <w:bookmarkEnd w:id="342"/>
    <w:p>
      <w:pPr>
        <w:ind w:right="58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the definition of Permitted Incremental Equivalent Debt) under the Available Incremental Amount cannot be increased without the consent of the Required Lenders; and</w:t>
      </w:r>
    </w:p>
    <w:p>
      <w:pPr>
        <w:spacing w:after="0" w:line="159" w:lineRule="exact"/>
        <w:rPr>
          <w:sz w:val="20"/>
          <w:szCs w:val="20"/>
          <w:color w:val="auto"/>
        </w:rPr>
      </w:pPr>
    </w:p>
    <w:p>
      <w:pPr>
        <w:ind w:firstLine="1880"/>
        <w:spacing w:after="0" w:line="249" w:lineRule="auto"/>
        <w:tabs>
          <w:tab w:leader="none" w:pos="2268"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contemplated by </w:t>
      </w:r>
      <w:r>
        <w:rPr>
          <w:rFonts w:ascii="Times New Roman" w:cs="Times New Roman" w:eastAsia="Times New Roman" w:hAnsi="Times New Roman"/>
          <w:sz w:val="20"/>
          <w:szCs w:val="20"/>
          <w:u w:val="single" w:color="auto"/>
          <w:color w:val="auto"/>
        </w:rPr>
        <w:t>clause (IX)</w:t>
      </w:r>
      <w:r>
        <w:rPr>
          <w:rFonts w:ascii="Times New Roman" w:cs="Times New Roman" w:eastAsia="Times New Roman" w:hAnsi="Times New Roman"/>
          <w:sz w:val="20"/>
          <w:szCs w:val="20"/>
          <w:color w:val="auto"/>
        </w:rPr>
        <w:t xml:space="preserve"> in the second proviso immediately succeeding </w:t>
      </w:r>
      <w:r>
        <w:rPr>
          <w:rFonts w:ascii="Times New Roman" w:cs="Times New Roman" w:eastAsia="Times New Roman" w:hAnsi="Times New Roman"/>
          <w:sz w:val="20"/>
          <w:szCs w:val="20"/>
          <w:u w:val="single" w:color="auto"/>
          <w:color w:val="auto"/>
        </w:rPr>
        <w:t>Section 10.01(1)(j)</w:t>
      </w:r>
      <w:r>
        <w:rPr>
          <w:rFonts w:ascii="Times New Roman" w:cs="Times New Roman" w:eastAsia="Times New Roman" w:hAnsi="Times New Roman"/>
          <w:sz w:val="20"/>
          <w:szCs w:val="20"/>
          <w:color w:val="auto"/>
        </w:rPr>
        <w:t xml:space="preserve">, amend, waive or modify (i)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2.05(2)(d)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2.06(3)</w:t>
      </w:r>
      <w:r>
        <w:rPr>
          <w:rFonts w:ascii="Times New Roman" w:cs="Times New Roman" w:eastAsia="Times New Roman" w:hAnsi="Times New Roman"/>
          <w:sz w:val="20"/>
          <w:szCs w:val="20"/>
          <w:color w:val="auto"/>
        </w:rPr>
        <w:t xml:space="preserve">, in each case in a manner that would alter the pro rata sharing of payments required thereby specified therein or (ii)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in each case without the written consent of each Lender directly and adversely affected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w:t>
      </w:r>
    </w:p>
    <w:p>
      <w:pPr>
        <w:spacing w:after="0" w:line="220" w:lineRule="exact"/>
        <w:rPr>
          <w:sz w:val="20"/>
          <w:szCs w:val="20"/>
          <w:color w:val="auto"/>
        </w:rPr>
      </w:pPr>
    </w:p>
    <w:p>
      <w:pPr>
        <w:ind w:right="80" w:firstLine="1505"/>
        <w:spacing w:after="0" w:line="244" w:lineRule="auto"/>
        <w:tabs>
          <w:tab w:leader="none" w:pos="2289"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amendment, waiver or consent shall, unless in writing and signed by each Issuing Bank in addition to the Lenders required above, affect the rights or duties of such Issuing Bank under this Agreement or any Issuing Bank Document relating to any Letter of Credit issued or to be issued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this Agreement may be amended to adjust the mechanics related to the issuance of Letters of Credit, including mechanical changes relating to the existence of multiple Issuing Banks, with only the written consent of the Administrative Agent, the applicable Issuing Bank and the Borrower so long as the obligations of the Revolving Lenders, if any, who have not executed such amendment, and if applicable the other Issuing Banks, if any, who have not executed such amendment, are not adversely affected thereby;</w:t>
      </w:r>
    </w:p>
    <w:p>
      <w:pPr>
        <w:spacing w:after="0" w:line="185" w:lineRule="exact"/>
        <w:rPr>
          <w:rFonts w:ascii="Times New Roman" w:cs="Times New Roman" w:eastAsia="Times New Roman" w:hAnsi="Times New Roman"/>
          <w:sz w:val="20"/>
          <w:szCs w:val="20"/>
          <w:color w:val="auto"/>
        </w:rPr>
      </w:pPr>
    </w:p>
    <w:p>
      <w:pPr>
        <w:ind w:right="20" w:firstLine="1505"/>
        <w:spacing w:after="0" w:line="246" w:lineRule="auto"/>
        <w:tabs>
          <w:tab w:leader="none" w:pos="2289"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amendment, waiver or consent shall, unless in writing and signed by the Swing Line Lender in addition to the Lenders required above, affect the rights or duties of the Swing Line Lender under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this Agreement may be amended to adjust the borrowing mechanics related to Swing Line Loans with only the written consent of the Administrative Agent, the Swing Line Lender and the Borrower so long as the obligations of the Revolving Lenders, if any, who have not executed such amendment, are not adversely affected thereby;</w:t>
      </w:r>
    </w:p>
    <w:p>
      <w:pPr>
        <w:spacing w:after="0" w:line="184" w:lineRule="exact"/>
        <w:rPr>
          <w:rFonts w:ascii="Times New Roman" w:cs="Times New Roman" w:eastAsia="Times New Roman" w:hAnsi="Times New Roman"/>
          <w:sz w:val="20"/>
          <w:szCs w:val="20"/>
          <w:color w:val="auto"/>
        </w:rPr>
      </w:pPr>
    </w:p>
    <w:p>
      <w:pPr>
        <w:jc w:val="both"/>
        <w:ind w:right="720" w:firstLine="1505"/>
        <w:spacing w:after="0" w:line="254" w:lineRule="auto"/>
        <w:tabs>
          <w:tab w:leader="none" w:pos="2289"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waiver or consent shall, unless in writing and signed by the Administrative Agent or the Collateral Agent in addition to the Lenders required above, affect the rights or duties of, or any fees or other amounts payable to, the Administrative Agent or the Collateral Agent, respectively, under this Agreement or any other Loan Document; and</w:t>
      </w:r>
    </w:p>
    <w:p>
      <w:pPr>
        <w:spacing w:after="0" w:line="174" w:lineRule="exact"/>
        <w:rPr>
          <w:rFonts w:ascii="Times New Roman" w:cs="Times New Roman" w:eastAsia="Times New Roman" w:hAnsi="Times New Roman"/>
          <w:sz w:val="20"/>
          <w:szCs w:val="20"/>
          <w:color w:val="auto"/>
        </w:rPr>
      </w:pPr>
    </w:p>
    <w:p>
      <w:pPr>
        <w:ind w:right="480" w:firstLine="1505"/>
        <w:spacing w:after="0" w:line="295" w:lineRule="auto"/>
        <w:tabs>
          <w:tab w:leader="none" w:pos="2289" w:val="left"/>
        </w:tabs>
        <w:numPr>
          <w:ilvl w:val="0"/>
          <w:numId w:val="4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10.07(7)</w:t>
      </w:r>
      <w:r>
        <w:rPr>
          <w:rFonts w:ascii="Times New Roman" w:cs="Times New Roman" w:eastAsia="Times New Roman" w:hAnsi="Times New Roman"/>
          <w:sz w:val="19"/>
          <w:szCs w:val="19"/>
          <w:color w:val="auto"/>
        </w:rPr>
        <w:t xml:space="preserve"> may not be amended, waived or otherwise modified without the consent of each Granting Lender all or any part of whose Loans are being funded by an SPC at the time of such amendment, waiver or other modification;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provided further </w:t>
      </w:r>
      <w:r>
        <w:rPr>
          <w:rFonts w:ascii="Times New Roman" w:cs="Times New Roman" w:eastAsia="Times New Roman" w:hAnsi="Times New Roman"/>
          <w:sz w:val="20"/>
          <w:szCs w:val="20"/>
          <w:color w:val="auto"/>
        </w:rPr>
        <w:t>that notwithstanding the foregoing:</w:t>
      </w:r>
    </w:p>
    <w:p>
      <w:pPr>
        <w:spacing w:after="0" w:line="220" w:lineRule="exact"/>
        <w:rPr>
          <w:sz w:val="20"/>
          <w:szCs w:val="20"/>
          <w:color w:val="auto"/>
        </w:rPr>
      </w:pPr>
    </w:p>
    <w:p>
      <w:pPr>
        <w:ind w:left="2440" w:right="20" w:firstLine="563"/>
        <w:spacing w:after="0" w:line="244" w:lineRule="auto"/>
        <w:tabs>
          <w:tab w:leader="none" w:pos="3397"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Defaulting Lender shall have any right to approve or disapprove of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Defaulting Lender may not be increased or extended without the consent of such Defaulting Lender (it being understood that any Commitments or Loans held or deemed held by any Defaulting Lender shall be excluded for a vote of the Lenders hereunder requiring any consent of the Lenders);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3" w:name="page344"/>
    <w:bookmarkEnd w:id="343"/>
    <w:p>
      <w:pPr>
        <w:ind w:left="1320" w:right="120" w:firstLine="563"/>
        <w:spacing w:after="0" w:line="242" w:lineRule="auto"/>
        <w:tabs>
          <w:tab w:leader="none" w:pos="2277" w:val="left"/>
        </w:tabs>
        <w:numPr>
          <w:ilvl w:val="0"/>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Lender consent is required to effect any amendment or supplement to any Intercreditor Agreement (i) that is for the purpose of adding the holders of Permitted Incremental Equivalent Debt, Credit Agreement Refinancing Indebtedness or any other Permitted Indebtedness that is Secured Indebtedness (or a Debt Representative with respect thereto) as parties thereto, as expressly contemplated by the terms of such Intercreditor Agreement, as applicable (it being understood that any such amendment, modification or supplement may make such other changes to the applicable Intercreditor Agreement as, in the good faith determination of the Administrative Agent, are required to effectuate the foregoing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other changes are not adverse, in any material respect, to the interests of the Lenders) or (ii) that is expressly contemplated by any Intercreditor Agreement in connection with joinders and supplements;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such agreement shall amend, modify or otherwise affect the rights or duties of the Administrative Agent or the Collateral Agent hereunder or under any other Loan Document without the prior written consent of the Administrative Agent or the Collateral Agent, as applicable;</w:t>
      </w:r>
    </w:p>
    <w:p>
      <w:pPr>
        <w:spacing w:after="0" w:line="187" w:lineRule="exact"/>
        <w:rPr>
          <w:sz w:val="20"/>
          <w:szCs w:val="20"/>
          <w:color w:val="auto"/>
        </w:rPr>
      </w:pPr>
    </w:p>
    <w:p>
      <w:pPr>
        <w:ind w:left="1320" w:right="20" w:firstLine="563"/>
        <w:spacing w:after="0" w:line="254" w:lineRule="auto"/>
        <w:tabs>
          <w:tab w:leader="none" w:pos="2277" w:val="left"/>
        </w:tabs>
        <w:numPr>
          <w:ilvl w:val="0"/>
          <w:numId w:val="4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the Revolving Loans, the Swing Line Loans and L/C Obligations and the accrued interest and fees in respect thereof and (ii) to include appropriately the Lenders holding such credit facilities in any determination of the Required Lenders or the Required Facility Lenders; provided, that, (x) if any such additional credit facilities are secured by the Collateral on a pari passu basis with the Term Facility, then such additional credit facilities shall be subject to an Equal Priority Intercreditor Agreement, and (y) the consent of the Lenders or the Required Lenders, as the case may be, shall not be required to make any changes necessary to be made in connection with any borrowing of Incremental Loans, any borrowing of Other Loans, any Extensions or any borrowing of Replacement Loans and otherwise to effect the provisions of </w:t>
      </w:r>
      <w:r>
        <w:rPr>
          <w:rFonts w:ascii="Times New Roman" w:cs="Times New Roman" w:eastAsia="Times New Roman" w:hAnsi="Times New Roman"/>
          <w:sz w:val="19"/>
          <w:szCs w:val="19"/>
          <w:u w:val="single" w:color="auto"/>
          <w:color w:val="auto"/>
        </w:rPr>
        <w:t>Sections</w:t>
      </w:r>
    </w:p>
    <w:p>
      <w:pPr>
        <w:spacing w:after="0" w:line="1" w:lineRule="exact"/>
        <w:rPr>
          <w:rFonts w:ascii="Times New Roman" w:cs="Times New Roman" w:eastAsia="Times New Roman" w:hAnsi="Times New Roman"/>
          <w:sz w:val="19"/>
          <w:szCs w:val="19"/>
          <w:color w:val="auto"/>
        </w:rPr>
      </w:pPr>
    </w:p>
    <w:p>
      <w:pPr>
        <w:jc w:val="both"/>
        <w:ind w:left="1320" w:right="8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the immediately succeeding paragraph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respectively or to effect the amendments to this Agreement or any other Loan Document as may be necessary in the reasonable opinion of the Borrower and the Administrative Agent to effect any provision specifying that any waiver, amendment or modification may be made with the consent or approval of the Administrative Agent;</w:t>
      </w:r>
    </w:p>
    <w:p>
      <w:pPr>
        <w:spacing w:after="0" w:line="188" w:lineRule="exact"/>
        <w:rPr>
          <w:sz w:val="20"/>
          <w:szCs w:val="20"/>
          <w:color w:val="auto"/>
        </w:rPr>
      </w:pPr>
    </w:p>
    <w:p>
      <w:pPr>
        <w:ind w:left="1320" w:firstLine="562"/>
        <w:spacing w:after="0" w:line="245" w:lineRule="auto"/>
        <w:rPr>
          <w:sz w:val="20"/>
          <w:szCs w:val="20"/>
          <w:color w:val="auto"/>
        </w:rPr>
      </w:pPr>
      <w:r>
        <w:rPr>
          <w:rFonts w:ascii="Times New Roman" w:cs="Times New Roman" w:eastAsia="Times New Roman" w:hAnsi="Times New Roman"/>
          <w:sz w:val="20"/>
          <w:szCs w:val="20"/>
          <w:color w:val="auto"/>
        </w:rPr>
        <w:t xml:space="preserve">(IV)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if such Class of Lenders were the only Class of Lenders hereunder at the time;</w:t>
      </w:r>
    </w:p>
    <w:p>
      <w:pPr>
        <w:spacing w:after="0" w:line="39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344" w:name="page345"/>
    <w:bookmarkEnd w:id="344"/>
    <w:p>
      <w:pPr>
        <w:ind w:left="1320" w:right="140" w:firstLine="563"/>
        <w:spacing w:after="0" w:line="254" w:lineRule="auto"/>
        <w:tabs>
          <w:tab w:leader="none" w:pos="2277" w:val="left"/>
        </w:tabs>
        <w:numPr>
          <w:ilvl w:val="1"/>
          <w:numId w:val="4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provision of this Agreement or any other Loan Document may be amended by an agreement in writing entered into by the Borrower and the Administrative Agent (or the Collateral Agent, as applicable) to cure any ambiguity, omission, defect or inconsistency (including amendments, supplements or waivers to any of the Collateral Documents, guarantees, intercreditor agreements or related documents executed by any Loan Party or any other Subsidiary in connection with this Agreement if such amendment, supplement or waiver is delivered in order to cause such Collateral Documents, guarantees, intercreditor agreements or related documents to be consistent with this Agreement and the other Loan Documents) or to comply with local Law or advice of local counsel, in each case, so long as the Lenders shall have received at least five (5) Business Days’ prior written notice thereof and the Administrative Agent shall not have received, within five</w:t>
      </w:r>
    </w:p>
    <w:p>
      <w:pPr>
        <w:spacing w:after="0" w:line="6" w:lineRule="exact"/>
        <w:rPr>
          <w:rFonts w:ascii="Times New Roman" w:cs="Times New Roman" w:eastAsia="Times New Roman" w:hAnsi="Times New Roman"/>
          <w:sz w:val="19"/>
          <w:szCs w:val="19"/>
          <w:color w:val="auto"/>
        </w:rPr>
      </w:pPr>
    </w:p>
    <w:p>
      <w:pPr>
        <w:ind w:left="1320" w:right="20" w:firstLine="2"/>
        <w:spacing w:after="0"/>
        <w:tabs>
          <w:tab w:leader="none" w:pos="1600" w:val="left"/>
        </w:tabs>
        <w:numPr>
          <w:ilvl w:val="0"/>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of the date of such notice to the Lenders, a written notice from the Required Lenders stating that the Required Lenders object to such amendment;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consent of the Lenders or the Required Lenders, as the case may be, shall not be required to make any such changes necessary to be made in connection with any borrowing of Incremental Loans, any borrowing of Other Loans, any Extension or any borrowing of Replacement Loans and otherwise to effect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the immediately succeeding paragraph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respectively or to effect amendments to this Agreement or any other Loan Document as may be necessary in the reasonable opinion of the Borrower and the Administrative Agent to effect any provision specifying that any waiver, amendment or modification may be made with the consent or approval of the Administrative Agent;</w:t>
      </w:r>
    </w:p>
    <w:p>
      <w:pPr>
        <w:spacing w:after="0" w:line="19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(VI) the Borrower and the Administrative Agent may, without the input or consent of the other Lenders</w:t>
      </w:r>
    </w:p>
    <w:p>
      <w:pPr>
        <w:spacing w:after="0" w:line="33" w:lineRule="exact"/>
        <w:rPr>
          <w:sz w:val="20"/>
          <w:szCs w:val="20"/>
          <w:color w:val="auto"/>
        </w:rPr>
      </w:pPr>
    </w:p>
    <w:p>
      <w:pPr>
        <w:jc w:val="both"/>
        <w:ind w:left="1320" w:right="200" w:firstLine="2"/>
        <w:spacing w:after="0" w:line="242" w:lineRule="auto"/>
        <w:tabs>
          <w:tab w:leader="none" w:pos="1556"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effect changes to any Mortgage as may be necessary or appropriate in the opinion of the Collateral Agent and (ii) effect changes to this Agreement that are necessary and appropriate to effect the offering process set forth in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1320" w:firstLine="562"/>
        <w:spacing w:after="0" w:line="241" w:lineRule="auto"/>
        <w:rPr>
          <w:sz w:val="20"/>
          <w:szCs w:val="20"/>
          <w:color w:val="auto"/>
        </w:rPr>
      </w:pPr>
      <w:r>
        <w:rPr>
          <w:rFonts w:ascii="Times New Roman" w:cs="Times New Roman" w:eastAsia="Times New Roman" w:hAnsi="Times New Roman"/>
          <w:sz w:val="20"/>
          <w:szCs w:val="20"/>
          <w:color w:val="auto"/>
        </w:rPr>
        <w:t>(VII) notwithstanding anything to the contrary herein, in connection with any determination as to whether the requisite Lenders have (A) consented (or not consented) to any amendment, modification or waiver of any provision of this Agreement or any other Loan Document or any departure by the Borrower or any Restricted Subsidiary therefrom, (B) otherwise acted on any matter related to this Agreement or any Loan Document or (C) directed or required the Administrative Agent or any Lender to undertake any action (or refrain from taking any action) with respect to, or under, this Agreement or any Loan Document, any Lender (or any Affiliate of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purposes of this clause (VII), Affiliates shall not include Persons that are subject to customary procedures to prevent the sharing of confidential information between such Lender and such Person and such Person is managed having independent fiduciary duties to the investors or other equityholders of such Person) (other than any Lender that is a Regulated Bank)) that, as a result of its (or its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w:t>
      </w: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13" w:right="359" w:bottom="1440" w:gutter="0" w:footer="0" w:header="0"/>
        </w:sectPr>
      </w:pPr>
    </w:p>
    <w:bookmarkStart w:id="345" w:name="page346"/>
    <w:bookmarkEnd w:id="345"/>
    <w:p>
      <w:pPr>
        <w:ind w:left="1320"/>
        <w:spacing w:after="0" w:line="253" w:lineRule="auto"/>
        <w:rPr>
          <w:sz w:val="20"/>
          <w:szCs w:val="20"/>
          <w:color w:val="auto"/>
        </w:rPr>
      </w:pPr>
      <w:r>
        <w:rPr>
          <w:rFonts w:ascii="Times New Roman" w:cs="Times New Roman" w:eastAsia="Times New Roman" w:hAnsi="Times New Roman"/>
          <w:sz w:val="19"/>
          <w:szCs w:val="19"/>
          <w:color w:val="auto"/>
        </w:rPr>
        <w:t>short position with respect to any of the Loans or Commitments or with respect to any other tranche, class or series of Indebtedness for borrowed money incurred or issued by the Borrower or any of its Restricted Subsidiaries at such time of determination (including commitments with respect to any revolving credit facility) (each such item of Indebtedness, including the Loans and Commitments, “</w:t>
      </w:r>
      <w:r>
        <w:rPr>
          <w:rFonts w:ascii="Times New Roman" w:cs="Times New Roman" w:eastAsia="Times New Roman" w:hAnsi="Times New Roman"/>
          <w:sz w:val="19"/>
          <w:szCs w:val="19"/>
          <w:b w:val="1"/>
          <w:bCs w:val="1"/>
          <w:color w:val="auto"/>
        </w:rPr>
        <w:t>Specified Indebtedness</w:t>
      </w:r>
      <w:r>
        <w:rPr>
          <w:rFonts w:ascii="Times New Roman" w:cs="Times New Roman" w:eastAsia="Times New Roman" w:hAnsi="Times New Roman"/>
          <w:sz w:val="19"/>
          <w:szCs w:val="19"/>
          <w:color w:val="auto"/>
        </w:rPr>
        <w:t>”) (each such Lender, a “</w:t>
      </w:r>
      <w:r>
        <w:rPr>
          <w:rFonts w:ascii="Times New Roman" w:cs="Times New Roman" w:eastAsia="Times New Roman" w:hAnsi="Times New Roman"/>
          <w:sz w:val="19"/>
          <w:szCs w:val="19"/>
          <w:b w:val="1"/>
          <w:bCs w:val="1"/>
          <w:color w:val="auto"/>
        </w:rPr>
        <w:t>Net Short Lender</w:t>
      </w:r>
      <w:r>
        <w:rPr>
          <w:rFonts w:ascii="Times New Roman" w:cs="Times New Roman" w:eastAsia="Times New Roman" w:hAnsi="Times New Roman"/>
          <w:sz w:val="19"/>
          <w:szCs w:val="19"/>
          <w:color w:val="auto"/>
        </w:rPr>
        <w:t>”) shall have no right to vote with respect to any amendment, modification or waiver of this Agreement or any other Loan Document and shall be deemed to have voted its interest as a Lender without discretion in the same proportion as the allocation of voting with respect to such matter by Lenders who are not Net Short Lender (including in any plan of reorganization). For purposes of determining whether a Lender (alone or together with its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or any other Restricted Subsidiary or any instrument issued or guaranteed by the Borrower or any other Restricted Subsidiary shall not be deemed to create a short position with respect to such Specified Indebtedness, so long as (x) such index is not created, designed, administered or requested by such Lender or its Affiliates and (y) the Borrower and the other Restricted Subsidiaries and any instrument issued or guaranteed by the Borrower or the other Restricted Subsidiaries,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9"/>
          <w:szCs w:val="19"/>
          <w:b w:val="1"/>
          <w:bCs w:val="1"/>
          <w:color w:val="auto"/>
        </w:rPr>
        <w:t>ISDA CDS Definitions</w:t>
      </w:r>
      <w:r>
        <w:rPr>
          <w:rFonts w:ascii="Times New Roman" w:cs="Times New Roman" w:eastAsia="Times New Roman" w:hAnsi="Times New Roman"/>
          <w:sz w:val="19"/>
          <w:szCs w:val="19"/>
          <w:color w:val="auto"/>
        </w:rPr>
        <w:t>”) shall be deemed to create a short position with respect to the relevant Specified Indebtedness if such Lender or its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the Borrower or any other Restricted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Affiliates protection against a decline in the value of such Specified Indebtedness, or in the credit quality of the Borrower or any other Restricted Subsidiary, in each case, other than as part of an index so long as (x) such index is not created, designed, administered or requested by such Lender or its Affiliates and (y) the Borrower and the other Restricted Subsidiaries, and any instrument issued or guaranteed by the Borrower or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630555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346" w:name="page347"/>
    <w:bookmarkEnd w:id="346"/>
    <w:p>
      <w:pPr>
        <w:ind w:left="2420"/>
        <w:spacing w:after="0" w:line="243" w:lineRule="auto"/>
        <w:rPr>
          <w:sz w:val="20"/>
          <w:szCs w:val="20"/>
          <w:color w:val="auto"/>
        </w:rPr>
      </w:pPr>
      <w:r>
        <w:rPr>
          <w:rFonts w:ascii="Times New Roman" w:cs="Times New Roman" w:eastAsia="Times New Roman" w:hAnsi="Times New Roman"/>
          <w:sz w:val="20"/>
          <w:szCs w:val="20"/>
          <w:color w:val="auto"/>
        </w:rPr>
        <w:t>other Restricted Subsidiaries, collectively, shall represent less than 5% of the components of such index. In connection with any amendment, modification or waiver of this Agreement or the other Loan Documents, each Lender (other than any Lender that is a Regulated Bank) will be deemed to have represented to the Borrower and the Administrative Agent that it does not constitute a Net Short Lender, in each case, unless such Lender shall have notified the Borrower and the Administrative Agent prior to the requested response date with respect to such amendment, modification or waiver that it constitutes a Net Short Lender (it being understood and agreed that the Borrower and the Administrative Agent shall be entitled to rely on each such representation and deemed representation). In no event shall the Administrative Agent be obligated to ascertain, monitor or inquire as to whether any Lender is a Net Short Lender;</w:t>
      </w:r>
    </w:p>
    <w:p>
      <w:pPr>
        <w:spacing w:after="0" w:line="186" w:lineRule="exact"/>
        <w:rPr>
          <w:sz w:val="20"/>
          <w:szCs w:val="20"/>
          <w:color w:val="auto"/>
        </w:rPr>
      </w:pPr>
    </w:p>
    <w:p>
      <w:pPr>
        <w:ind w:left="2980"/>
        <w:spacing w:after="0"/>
        <w:tabs>
          <w:tab w:leader="none" w:pos="3760" w:val="left"/>
        </w:tabs>
        <w:rPr>
          <w:sz w:val="20"/>
          <w:szCs w:val="20"/>
          <w:color w:val="auto"/>
        </w:rPr>
      </w:pPr>
      <w:r>
        <w:rPr>
          <w:rFonts w:ascii="Times New Roman" w:cs="Times New Roman" w:eastAsia="Times New Roman" w:hAnsi="Times New Roman"/>
          <w:sz w:val="20"/>
          <w:szCs w:val="20"/>
          <w:color w:val="auto"/>
        </w:rPr>
        <w:t>(VIII)</w:t>
      </w:r>
      <w:r>
        <w:rPr>
          <w:sz w:val="20"/>
          <w:szCs w:val="20"/>
          <w:color w:val="auto"/>
        </w:rPr>
        <w:tab/>
      </w:r>
      <w:r>
        <w:rPr>
          <w:rFonts w:ascii="Times New Roman" w:cs="Times New Roman" w:eastAsia="Times New Roman" w:hAnsi="Times New Roman"/>
          <w:sz w:val="20"/>
          <w:szCs w:val="20"/>
          <w:color w:val="auto"/>
        </w:rPr>
        <w:t>[reserved]; and</w:t>
      </w:r>
    </w:p>
    <w:p>
      <w:pPr>
        <w:spacing w:after="0" w:line="216" w:lineRule="exact"/>
        <w:rPr>
          <w:sz w:val="20"/>
          <w:szCs w:val="20"/>
          <w:color w:val="auto"/>
        </w:rPr>
      </w:pPr>
    </w:p>
    <w:p>
      <w:pPr>
        <w:ind w:left="2420" w:right="20" w:firstLine="562"/>
        <w:spacing w:after="0" w:line="241" w:lineRule="auto"/>
        <w:rPr>
          <w:sz w:val="20"/>
          <w:szCs w:val="20"/>
          <w:color w:val="auto"/>
        </w:rPr>
      </w:pPr>
      <w:r>
        <w:rPr>
          <w:rFonts w:ascii="Times New Roman" w:cs="Times New Roman" w:eastAsia="Times New Roman" w:hAnsi="Times New Roman"/>
          <w:sz w:val="20"/>
          <w:szCs w:val="20"/>
          <w:color w:val="auto"/>
        </w:rPr>
        <w:t>(IX) the Loan Documents shall not be amended or modified to provide that the Liens on the Collateral securing the Revolving Loans and/or Term Loans or the payment or payment priority ranking rights of the Lenders under the Loan Documents, as applicable, shall be subordinated to the Liens on the Collateral securing any other Indebtedness for borrowed money incurred by any Loan Party (such other indebtedness, the “</w:t>
      </w:r>
      <w:r>
        <w:rPr>
          <w:rFonts w:ascii="Times New Roman" w:cs="Times New Roman" w:eastAsia="Times New Roman" w:hAnsi="Times New Roman"/>
          <w:sz w:val="20"/>
          <w:szCs w:val="20"/>
          <w:b w:val="1"/>
          <w:bCs w:val="1"/>
          <w:color w:val="auto"/>
        </w:rPr>
        <w:t>Priming Indebtedness</w:t>
      </w:r>
      <w:r>
        <w:rPr>
          <w:rFonts w:ascii="Times New Roman" w:cs="Times New Roman" w:eastAsia="Times New Roman" w:hAnsi="Times New Roman"/>
          <w:sz w:val="20"/>
          <w:szCs w:val="20"/>
          <w:color w:val="auto"/>
        </w:rPr>
        <w:t>”) in connection with an exchange of Revolving Commitments or Revolving Loans or Term Loans, as applicable, for such Priming Indebtedness or the repayment or replacement of Revolving Commitments or Revolving Loans or Term Loans, as applicable, with such Priming Indebtedness (a “</w:t>
      </w:r>
      <w:r>
        <w:rPr>
          <w:rFonts w:ascii="Times New Roman" w:cs="Times New Roman" w:eastAsia="Times New Roman" w:hAnsi="Times New Roman"/>
          <w:sz w:val="20"/>
          <w:szCs w:val="20"/>
          <w:b w:val="1"/>
          <w:bCs w:val="1"/>
          <w:color w:val="auto"/>
        </w:rPr>
        <w:t>Priming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in each case, without the prior written consent of all Revolving Lenders and/or Term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directly and adversely affected thereby in respect of the Revolving Facility (provided that this clause (IX) shall not apply with respect to (x) any Priming Transaction in which the Borrower offered the applicable Lenders (other than Defaulting Lenders) that were directly and adversely affected by such Priming Transaction at the time of the applicable Priming Transaction a bona fide opportunity to ratably participate on the same terms in such Priming Transaction or (y) debtor in possession financing or any use of Collateral in an insolvency proceeding).</w:t>
      </w:r>
    </w:p>
    <w:p>
      <w:pPr>
        <w:spacing w:after="0" w:line="196" w:lineRule="exact"/>
        <w:rPr>
          <w:sz w:val="20"/>
          <w:szCs w:val="20"/>
          <w:color w:val="auto"/>
        </w:rPr>
      </w:pPr>
    </w:p>
    <w:p>
      <w:pPr>
        <w:jc w:val="both"/>
        <w:ind w:left="-20" w:right="560" w:firstLine="1505"/>
        <w:spacing w:after="0" w:line="249" w:lineRule="auto"/>
        <w:tabs>
          <w:tab w:leader="none" w:pos="1873"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notwithstanding anything to the contrary contained in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this Agreement may be amended (each, a “</w:t>
      </w:r>
      <w:r>
        <w:rPr>
          <w:rFonts w:ascii="Times New Roman" w:cs="Times New Roman" w:eastAsia="Times New Roman" w:hAnsi="Times New Roman"/>
          <w:sz w:val="20"/>
          <w:szCs w:val="20"/>
          <w:b w:val="1"/>
          <w:bCs w:val="1"/>
          <w:color w:val="auto"/>
        </w:rPr>
        <w:t>Replacement Amendment</w:t>
      </w:r>
      <w:r>
        <w:rPr>
          <w:rFonts w:ascii="Times New Roman" w:cs="Times New Roman" w:eastAsia="Times New Roman" w:hAnsi="Times New Roman"/>
          <w:sz w:val="20"/>
          <w:szCs w:val="20"/>
          <w:color w:val="auto"/>
        </w:rPr>
        <w:t>”) with the written consent of the Administrative Agent, the Borrower and the Lenders providing the Replacement Loans (as defined below) to permit the refinancing of all outstanding Term Loans of any Class (“</w:t>
      </w:r>
      <w:r>
        <w:rPr>
          <w:rFonts w:ascii="Times New Roman" w:cs="Times New Roman" w:eastAsia="Times New Roman" w:hAnsi="Times New Roman"/>
          <w:sz w:val="20"/>
          <w:szCs w:val="20"/>
          <w:b w:val="1"/>
          <w:bCs w:val="1"/>
          <w:color w:val="auto"/>
        </w:rPr>
        <w:t>Replaced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Loans</w:t>
      </w:r>
      <w:r>
        <w:rPr>
          <w:rFonts w:ascii="Times New Roman" w:cs="Times New Roman" w:eastAsia="Times New Roman" w:hAnsi="Times New Roman"/>
          <w:sz w:val="20"/>
          <w:szCs w:val="20"/>
          <w:color w:val="auto"/>
        </w:rPr>
        <w:t>”) with replacement term loans (“</w:t>
      </w:r>
      <w:r>
        <w:rPr>
          <w:rFonts w:ascii="Times New Roman" w:cs="Times New Roman" w:eastAsia="Times New Roman" w:hAnsi="Times New Roman"/>
          <w:sz w:val="20"/>
          <w:szCs w:val="20"/>
          <w:b w:val="1"/>
          <w:bCs w:val="1"/>
          <w:color w:val="auto"/>
        </w:rPr>
        <w:t>Replacement Loans</w:t>
      </w:r>
      <w:r>
        <w:rPr>
          <w:rFonts w:ascii="Times New Roman" w:cs="Times New Roman" w:eastAsia="Times New Roman" w:hAnsi="Times New Roman"/>
          <w:sz w:val="20"/>
          <w:szCs w:val="20"/>
          <w:color w:val="auto"/>
        </w:rPr>
        <w:t>”)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w:t>
      </w:r>
    </w:p>
    <w:p>
      <w:pPr>
        <w:spacing w:after="0" w:line="179" w:lineRule="exact"/>
        <w:rPr>
          <w:rFonts w:ascii="Times New Roman" w:cs="Times New Roman" w:eastAsia="Times New Roman" w:hAnsi="Times New Roman"/>
          <w:sz w:val="20"/>
          <w:szCs w:val="20"/>
          <w:color w:val="auto"/>
        </w:rPr>
      </w:pPr>
    </w:p>
    <w:p>
      <w:pPr>
        <w:ind w:left="-20" w:right="220" w:firstLine="1880"/>
        <w:spacing w:after="0" w:line="254" w:lineRule="auto"/>
        <w:tabs>
          <w:tab w:leader="none" w:pos="2248" w:val="left"/>
        </w:tabs>
        <w:numPr>
          <w:ilvl w:val="1"/>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such Replacement Loans shall not exceed the aggregate principal amount of such Replaced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interest, fees, premiums (if any) and penalties thereon and reasonable fees and expenses incurred in connection with such refinancing of Replaced Loans with such Replacement Loans and any other Incremental Amounts,</w:t>
      </w:r>
    </w:p>
    <w:p>
      <w:pPr>
        <w:spacing w:after="0" w:line="174" w:lineRule="exact"/>
        <w:rPr>
          <w:rFonts w:ascii="Times New Roman" w:cs="Times New Roman" w:eastAsia="Times New Roman" w:hAnsi="Times New Roman"/>
          <w:sz w:val="20"/>
          <w:szCs w:val="20"/>
          <w:color w:val="auto"/>
        </w:rPr>
      </w:pPr>
    </w:p>
    <w:p>
      <w:pPr>
        <w:ind w:left="-20" w:right="460" w:firstLine="1880"/>
        <w:spacing w:after="0" w:line="254" w:lineRule="auto"/>
        <w:tabs>
          <w:tab w:leader="none" w:pos="2248" w:val="left"/>
        </w:tabs>
        <w:numPr>
          <w:ilvl w:val="1"/>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All-In Yield with respect to such Replacement Loans (or similar interest rate spread applicable to such Replacement Loans) shall not be higher than the All-In Yield for such Replaced Loans (or similar interest rate spread applicable to such Replaced Loans) immediately prior to such refinancing,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47" w:name="page348"/>
    <w:bookmarkEnd w:id="347"/>
    <w:p>
      <w:pPr>
        <w:jc w:val="both"/>
        <w:ind w:right="380" w:firstLine="1880"/>
        <w:spacing w:after="0" w:line="254" w:lineRule="auto"/>
        <w:tabs>
          <w:tab w:leader="none" w:pos="2268"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such Replacement Loans shall not mature earlier than the Original Term Loan Maturity Date and (II) the Weighted Average Life to Maturity of such Replacement Loans shall not be shorter than the Weighted Average Life to Maturity of such Replaced Loans at the time of such refinancing,</w:t>
      </w:r>
    </w:p>
    <w:p>
      <w:pPr>
        <w:spacing w:after="0" w:line="174" w:lineRule="exact"/>
        <w:rPr>
          <w:rFonts w:ascii="Times New Roman" w:cs="Times New Roman" w:eastAsia="Times New Roman" w:hAnsi="Times New Roman"/>
          <w:sz w:val="20"/>
          <w:szCs w:val="20"/>
          <w:color w:val="auto"/>
        </w:rPr>
      </w:pPr>
    </w:p>
    <w:p>
      <w:pPr>
        <w:ind w:firstLine="1880"/>
        <w:spacing w:after="0" w:line="242" w:lineRule="auto"/>
        <w:tabs>
          <w:tab w:leader="none" w:pos="2268"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other terms (other than with respect to pricing, interest rate margins, fees, discounts, rate floors and prepayment or redemption terms) applicable to such Replacement Loans shall either, at the option of the Borrower, (i) if not otherwise consistent with the terms of such Replaced Loans, not be materially more restrictive to the Borrower (as determined by the Borrower in good faith), when taken as a whole, than the terms of such Replaced Loans, except, in each case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with respect to (I) covenants and other terms applicable to any period after the Latest Maturity Date of the Closing Date Term Loans or Closing Date Revolving Facility, as applicable, or (II) a Previously Absent Financial Maintenance Covenant (so long as, to the extent that any such terms of any Replacement Loans contain a Previously Absent Financial Maintenance Covenant that is in effect prior to the applicable Latest Maturity Date of the Closing Date Term Loans, such Previously Absent Financial Maintenance Covenant shall be included for the benefit of the Closing Date Term Loans) or (ii) such terms as are reasonably satisfactory to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Borrower’s election, to the extent any term or provision is added for the benefit of the lenders of Replacement Loans, no consent shall be required from the Administrative Agent or any Lender to the extent that such term or provision is also added, or the features of such term or provision are provided, for the benefit of the Closing Date Term Loans),</w:t>
      </w:r>
    </w:p>
    <w:p>
      <w:pPr>
        <w:spacing w:after="0" w:line="187" w:lineRule="exact"/>
        <w:rPr>
          <w:rFonts w:ascii="Times New Roman" w:cs="Times New Roman" w:eastAsia="Times New Roman" w:hAnsi="Times New Roman"/>
          <w:sz w:val="20"/>
          <w:szCs w:val="20"/>
          <w:color w:val="auto"/>
        </w:rPr>
      </w:pPr>
    </w:p>
    <w:p>
      <w:pPr>
        <w:ind w:right="900" w:firstLine="1880"/>
        <w:spacing w:after="0" w:line="269" w:lineRule="auto"/>
        <w:tabs>
          <w:tab w:leader="none" w:pos="2268"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Replacement Loans shall not at any time be guaranteed by any Subsidiary of the Borrower other than Subsidiaries that are Guarantors, and</w:t>
      </w:r>
    </w:p>
    <w:p>
      <w:pPr>
        <w:spacing w:after="0" w:line="159" w:lineRule="exact"/>
        <w:rPr>
          <w:rFonts w:ascii="Times New Roman" w:cs="Times New Roman" w:eastAsia="Times New Roman" w:hAnsi="Times New Roman"/>
          <w:sz w:val="20"/>
          <w:szCs w:val="20"/>
          <w:color w:val="auto"/>
        </w:rPr>
      </w:pPr>
    </w:p>
    <w:p>
      <w:pPr>
        <w:ind w:right="60" w:firstLine="1880"/>
        <w:spacing w:after="0" w:line="269" w:lineRule="auto"/>
        <w:tabs>
          <w:tab w:leader="none" w:pos="2268"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Replacement Loans that are secured, the obligations in respect thereof shall not be secured by any property or assets of the Borrower or any Restricted Subsidiary other than the Collateral.</w:t>
      </w:r>
    </w:p>
    <w:p>
      <w:pPr>
        <w:spacing w:after="0" w:line="159" w:lineRule="exact"/>
        <w:rPr>
          <w:sz w:val="20"/>
          <w:szCs w:val="20"/>
          <w:color w:val="auto"/>
        </w:rPr>
      </w:pPr>
    </w:p>
    <w:p>
      <w:pPr>
        <w:ind w:right="12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(x) each Replacement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10.01(2)</w:t>
      </w:r>
      <w:r>
        <w:rPr>
          <w:rFonts w:ascii="Times New Roman" w:cs="Times New Roman" w:eastAsia="Times New Roman" w:hAnsi="Times New Roman"/>
          <w:sz w:val="20"/>
          <w:szCs w:val="20"/>
          <w:color w:val="auto"/>
        </w:rPr>
        <w:t xml:space="preserve"> (for the avoidance of doubt, this </w:t>
      </w:r>
      <w:r>
        <w:rPr>
          <w:rFonts w:ascii="Times New Roman" w:cs="Times New Roman" w:eastAsia="Times New Roman" w:hAnsi="Times New Roman"/>
          <w:sz w:val="20"/>
          <w:szCs w:val="20"/>
          <w:u w:val="single" w:color="auto"/>
          <w:color w:val="auto"/>
        </w:rPr>
        <w:t>Section 10.01(2)</w:t>
      </w:r>
      <w:r>
        <w:rPr>
          <w:rFonts w:ascii="Times New Roman" w:cs="Times New Roman" w:eastAsia="Times New Roman" w:hAnsi="Times New Roman"/>
          <w:sz w:val="20"/>
          <w:szCs w:val="20"/>
          <w:color w:val="auto"/>
        </w:rPr>
        <w:t xml:space="preserve"> shall supersede any other provisions in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to the contrary), including to effect technical and corresponding amendments to this Agreement and the other Loan Documents and (y) at the option of the Borrower in consultation with the Administrative Agent, incorporate terms that would be favorable to existing Lenders of the applicable Class or Classes for the benefit of such existing Lenders of the applicable Class or Classes, in each case under this clause (y), so long as the Administrative Agent reasonably agrees that such modification is favorable to the applicable Lenders.</w:t>
      </w:r>
    </w:p>
    <w:p>
      <w:pPr>
        <w:spacing w:after="0" w:line="189" w:lineRule="exact"/>
        <w:rPr>
          <w:sz w:val="20"/>
          <w:szCs w:val="20"/>
          <w:color w:val="auto"/>
        </w:rPr>
      </w:pPr>
    </w:p>
    <w:p>
      <w:pPr>
        <w:ind w:right="100" w:firstLine="1505"/>
        <w:spacing w:after="0" w:line="245" w:lineRule="auto"/>
        <w:tabs>
          <w:tab w:leader="none" w:pos="1893"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notwithstanding anything to the contrary in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if the Administrative Agent and the Borrower shall have jointly identified an obvious error, mistake, ambiguity, incorrect cross-reference or any error or omission of a technical or immaterial nature, in each case, in any provision of this Agreement or any other Loan Document (including, for the avoidance of doubt, any exhibit, schedule or other attachment to any Loan Document), then the Administrative Agent (acting in its sole discretion) and the Borrower or any other relevant Loan Party shall be permitted to amend such provision and such amendment shall become effective without any further action or consent of any other</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48" w:name="page349"/>
    <w:bookmarkEnd w:id="348"/>
    <w:p>
      <w:pPr>
        <w:ind w:right="380"/>
        <w:spacing w:after="0" w:line="269" w:lineRule="auto"/>
        <w:rPr>
          <w:sz w:val="20"/>
          <w:szCs w:val="20"/>
          <w:color w:val="auto"/>
        </w:rPr>
      </w:pPr>
      <w:r>
        <w:rPr>
          <w:rFonts w:ascii="Times New Roman" w:cs="Times New Roman" w:eastAsia="Times New Roman" w:hAnsi="Times New Roman"/>
          <w:sz w:val="20"/>
          <w:szCs w:val="20"/>
          <w:color w:val="auto"/>
        </w:rPr>
        <w:t>party to any Loan Document. Notification of such amendment shall be made by the Administrative Agent to the Lenders promptly upon such amendment becoming effective.</w:t>
      </w:r>
    </w:p>
    <w:p>
      <w:pPr>
        <w:spacing w:after="0" w:line="159"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10.02</w:t>
      </w:r>
      <w:r>
        <w:rPr>
          <w:sz w:val="20"/>
          <w:szCs w:val="20"/>
          <w:color w:val="auto"/>
        </w:rPr>
        <w:tab/>
      </w:r>
      <w:r>
        <w:rPr>
          <w:rFonts w:ascii="Times New Roman" w:cs="Times New Roman" w:eastAsia="Times New Roman" w:hAnsi="Times New Roman"/>
          <w:sz w:val="19"/>
          <w:szCs w:val="19"/>
          <w:color w:val="auto"/>
        </w:rPr>
        <w:t>Notices and Other Communications; Facsimile Copies.</w:t>
      </w:r>
    </w:p>
    <w:p>
      <w:pPr>
        <w:spacing w:after="0" w:line="216" w:lineRule="exact"/>
        <w:rPr>
          <w:sz w:val="20"/>
          <w:szCs w:val="20"/>
          <w:color w:val="auto"/>
        </w:rPr>
      </w:pPr>
    </w:p>
    <w:p>
      <w:pPr>
        <w:ind w:right="20" w:firstLine="1505"/>
        <w:spacing w:after="0" w:line="266" w:lineRule="auto"/>
        <w:tabs>
          <w:tab w:leader="none" w:pos="1893" w:val="left"/>
        </w:tabs>
        <w:numPr>
          <w:ilvl w:val="0"/>
          <w:numId w:val="4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9"/>
          <w:szCs w:val="19"/>
          <w:u w:val="single" w:color="auto"/>
          <w:color w:val="auto"/>
        </w:rPr>
        <w:t>subsection (2)</w:t>
      </w:r>
      <w:r>
        <w:rPr>
          <w:rFonts w:ascii="Times New Roman" w:cs="Times New Roman" w:eastAsia="Times New Roman" w:hAnsi="Times New Roman"/>
          <w:sz w:val="19"/>
          <w:szCs w:val="19"/>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65" w:lineRule="exact"/>
        <w:rPr>
          <w:rFonts w:ascii="Times New Roman" w:cs="Times New Roman" w:eastAsia="Times New Roman" w:hAnsi="Times New Roman"/>
          <w:sz w:val="19"/>
          <w:szCs w:val="19"/>
          <w:color w:val="auto"/>
        </w:rPr>
      </w:pPr>
    </w:p>
    <w:p>
      <w:pPr>
        <w:ind w:right="480" w:firstLine="1880"/>
        <w:spacing w:after="0" w:line="269" w:lineRule="auto"/>
        <w:tabs>
          <w:tab w:leader="none" w:pos="2268"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Holdings, the Borrower or the Administrative Agent,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right="180" w:firstLine="1880"/>
        <w:spacing w:after="0" w:line="269" w:lineRule="auto"/>
        <w:tabs>
          <w:tab w:leader="none" w:pos="2268"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w:t>
      </w:r>
    </w:p>
    <w:p>
      <w:pPr>
        <w:spacing w:after="0" w:line="159" w:lineRule="exact"/>
        <w:rPr>
          <w:sz w:val="20"/>
          <w:szCs w:val="20"/>
          <w:color w:val="auto"/>
        </w:rPr>
      </w:pPr>
    </w:p>
    <w:p>
      <w:pPr>
        <w:ind w:right="140" w:firstLine="1497"/>
        <w:spacing w:after="0" w:line="246"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succeeding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subsection (2)</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subsection (2)</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firstLine="1505"/>
        <w:spacing w:after="0" w:line="260" w:lineRule="auto"/>
        <w:tabs>
          <w:tab w:leader="none" w:pos="1893" w:val="left"/>
        </w:tabs>
        <w:numPr>
          <w:ilvl w:val="0"/>
          <w:numId w:val="4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Communication</w:t>
      </w:r>
      <w:r>
        <w:rPr>
          <w:rFonts w:ascii="Times New Roman" w:cs="Times New Roman" w:eastAsia="Times New Roman" w:hAnsi="Times New Roman"/>
          <w:sz w:val="19"/>
          <w:szCs w:val="19"/>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172" w:lineRule="exact"/>
        <w:rPr>
          <w:rFonts w:ascii="Times New Roman" w:cs="Times New Roman" w:eastAsia="Times New Roman" w:hAnsi="Times New Roman"/>
          <w:sz w:val="19"/>
          <w:szCs w:val="19"/>
          <w:color w:val="auto"/>
        </w:rPr>
      </w:pPr>
    </w:p>
    <w:p>
      <w:pPr>
        <w:ind w:right="180" w:firstLine="1505"/>
        <w:spacing w:after="0" w:line="244" w:lineRule="auto"/>
        <w:tabs>
          <w:tab w:leader="none" w:pos="1893"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succeeding Business Day for the recipient, and (b)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ind w:right="3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49" w:name="page350"/>
    <w:bookmarkEnd w:id="349"/>
    <w:p>
      <w:pPr>
        <w:ind w:right="120"/>
        <w:spacing w:after="0" w:line="242" w:lineRule="auto"/>
        <w:rPr>
          <w:sz w:val="20"/>
          <w:szCs w:val="20"/>
          <w:color w:val="auto"/>
        </w:rPr>
      </w:pPr>
      <w:r>
        <w:rPr>
          <w:rFonts w:ascii="Times New Roman" w:cs="Times New Roman" w:eastAsia="Times New Roman" w:hAnsi="Times New Roman"/>
          <w:sz w:val="20"/>
          <w:szCs w:val="20"/>
          <w:color w:val="auto"/>
        </w:rPr>
        <w:t>FROM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Agent-Related Persons or any Arranger (collectively, the “</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xml:space="preserve">”) have any liability to Holdings,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no event shall any Agent Party have any liability to Holdings, the Borrower, any Lender or any other Person for indirect, special, incidental, consequential or punitive damages (as opposed to direct or actual damages).</w:t>
      </w:r>
    </w:p>
    <w:p>
      <w:pPr>
        <w:spacing w:after="0" w:line="190" w:lineRule="exact"/>
        <w:rPr>
          <w:sz w:val="20"/>
          <w:szCs w:val="20"/>
          <w:color w:val="auto"/>
        </w:rPr>
      </w:pPr>
    </w:p>
    <w:p>
      <w:pPr>
        <w:ind w:firstLine="1505"/>
        <w:spacing w:after="0" w:line="256" w:lineRule="auto"/>
        <w:tabs>
          <w:tab w:leader="none" w:pos="1893" w:val="left"/>
        </w:tabs>
        <w:numPr>
          <w:ilvl w:val="0"/>
          <w:numId w:val="4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Address</w:t>
      </w:r>
      <w:r>
        <w:rPr>
          <w:rFonts w:ascii="Times New Roman" w:cs="Times New Roman" w:eastAsia="Times New Roman" w:hAnsi="Times New Roman"/>
          <w:sz w:val="19"/>
          <w:szCs w:val="19"/>
          <w:color w:val="auto"/>
        </w:rPr>
        <w:t>. Each Loan Party and the Administrative Agent may change its address, facsimile or telephone number for notices and other communications hereunder by written notice to the other parties hereto. Each other Lender may change its address, facsimile or telephone number for notices and other communications hereunder by written notice to the Borrower and the Administrative Agent. In addition, each Lender agrees to notify the Administrative Agent from time to time to ensure that the Administrative Agent has on record (a) an effective address, contact name, telephone number, facsimile number and electronic mail address to which notices and other communications may be sent and (b) accurate wire instructions for such Lender. Furthermore, each Public Lender agrees to cause at least one individual at or on behalf of such Public Lender to at all times have selected the “Private-Side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7" w:lineRule="exact"/>
        <w:rPr>
          <w:rFonts w:ascii="Times New Roman" w:cs="Times New Roman" w:eastAsia="Times New Roman" w:hAnsi="Times New Roman"/>
          <w:sz w:val="19"/>
          <w:szCs w:val="19"/>
          <w:color w:val="auto"/>
        </w:rPr>
      </w:pPr>
    </w:p>
    <w:p>
      <w:pPr>
        <w:ind w:right="100" w:firstLine="1505"/>
        <w:spacing w:after="0" w:line="243" w:lineRule="auto"/>
        <w:tabs>
          <w:tab w:leader="none" w:pos="1893"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the Administrative Agent</w:t>
      </w:r>
      <w:r>
        <w:rPr>
          <w:rFonts w:ascii="Times New Roman" w:cs="Times New Roman" w:eastAsia="Times New Roman" w:hAnsi="Times New Roman"/>
          <w:sz w:val="20"/>
          <w:szCs w:val="20"/>
          <w:color w:val="auto"/>
        </w:rPr>
        <w:t>. The Administrative Agent and the Lenders shall be entitled to rely and act upon any notices (including telephonic Committed Loan Notices) purportedly given by or on behalf of the Borrower even if (a) such notices were not made in a manner specified herein, were incomplete or were not preceded or followed by any other form of notice specified herein or (b) the terms thereof, as understood by the recipient, varied from any confirmation thereof. The Borrower shall indemnify the Administrative Agent, each Lender and the Related Persons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ind w:right="40" w:firstLine="1497"/>
        <w:spacing w:after="0" w:line="245" w:lineRule="auto"/>
        <w:rPr>
          <w:sz w:val="20"/>
          <w:szCs w:val="20"/>
          <w:color w:val="auto"/>
        </w:rPr>
      </w:pPr>
      <w:r>
        <w:rPr>
          <w:rFonts w:ascii="Times New Roman" w:cs="Times New Roman" w:eastAsia="Times New Roman" w:hAnsi="Times New Roman"/>
          <w:sz w:val="20"/>
          <w:szCs w:val="20"/>
          <w:color w:val="auto"/>
        </w:rPr>
        <w:t>SECTION 10.03 No Waiver; Cumulative Remedies.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0" w:name="page351"/>
    <w:bookmarkEnd w:id="350"/>
    <w:p>
      <w:pPr>
        <w:ind w:right="60" w:firstLine="1497"/>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Bank or Swing Line Lender from exercising the rights and remedies that inure to its benefit (solely in its capacity as Issuing Bank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96"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19"/>
          <w:szCs w:val="19"/>
          <w:color w:val="auto"/>
        </w:rPr>
        <w:t xml:space="preserve">SECTION 10.04 Costs and Expenses. The Borrower agrees (a) if the Closing Date occurs and to the extent not paid or reimbursed on or prior to the Closing Date, to pay or reimburse the Administrative Agent and the Arranger with “lead left” placement for all reasonable and documented out-of-pocket costs and expenses of the Administrative Agent and such Arranger incurred in connection with the preparation, negotiation, execution, delivery and administration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of a single U.S. counsel (including, without limitation, those of any common diligence team at such identified counsel for such Arranger) and, if necessary, a single local counsel in each relevant material jurisdiction and (b) upon presentation of a summary statement, together with any supporting documentation reasonably requested by the Borrower, to pay or reimburse the Administrative Agent, each Issuing Bank, each Swing Line Lender and the other Lenders, taken as a whole, promptly following a written demand therefor for all reasonable and documented out-of-pocket costs and expenses incurred in connection with the enforcement of any rights or remedies under this Agreement or the other Loan Documents (including all such costs and expenses incurred during any legal proceeding, including any proceeding under any Debtor Relief Law, and including all Attorney Costs of one counsel to the Administrative Agent and the Lenders taken as a whole (and, if necessary, one local counsel in any relevant material jurisdiction and solely in the case of a conflict of interest, one additional counsel in each relevant material jurisdiction to each group of affected Lenders similarly situated taken as a whole)). The agreements in this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10.04</w:t>
      </w:r>
      <w:r>
        <w:rPr>
          <w:rFonts w:ascii="Times New Roman" w:cs="Times New Roman" w:eastAsia="Times New Roman" w:hAnsi="Times New Roman"/>
          <w:sz w:val="19"/>
          <w:szCs w:val="19"/>
          <w:color w:val="auto"/>
        </w:rPr>
        <w:t xml:space="preserve"> shall be paid within thirty (30) calendar days following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w:t>
      </w:r>
    </w:p>
    <w:p>
      <w:pPr>
        <w:spacing w:after="0" w:line="183"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10.05</w:t>
      </w:r>
      <w:r>
        <w:rPr>
          <w:sz w:val="20"/>
          <w:szCs w:val="20"/>
          <w:color w:val="auto"/>
        </w:rPr>
        <w:tab/>
      </w:r>
      <w:r>
        <w:rPr>
          <w:rFonts w:ascii="Times New Roman" w:cs="Times New Roman" w:eastAsia="Times New Roman" w:hAnsi="Times New Roman"/>
          <w:sz w:val="19"/>
          <w:szCs w:val="19"/>
          <w:color w:val="auto"/>
        </w:rPr>
        <w:t>Indemnification by the Borrower. The Borrower shall indemnify and hold harmless the Agents,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Issuing Bank, each Swing Line Lender, and each other Lender, the Arrangers and their respective Related Persons (collectively,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from and against any and all losses, claims, damages, liabilities or expenses (including Attorney Costs and Environmental</w:t>
      </w:r>
    </w:p>
    <w:p>
      <w:pPr>
        <w:spacing w:after="0"/>
        <w:rPr>
          <w:sz w:val="20"/>
          <w:szCs w:val="20"/>
          <w:color w:val="auto"/>
        </w:rPr>
      </w:pPr>
      <w:r>
        <w:rPr>
          <w:rFonts w:ascii="Times New Roman" w:cs="Times New Roman" w:eastAsia="Times New Roman" w:hAnsi="Times New Roman"/>
          <w:sz w:val="20"/>
          <w:szCs w:val="20"/>
          <w:color w:val="auto"/>
        </w:rPr>
        <w:t>Liabilities) to which any such Indemnitee may become subject arising out of, resulting from or in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20"/>
          <w:szCs w:val="20"/>
          <w:color w:val="auto"/>
        </w:rPr>
        <w:t>connection with (but limited, in the case of legal fees and expenses, to the reasonable and documented out-of-pocket fees, disbursements and other charges of one counsel to all Indemnitees taken as a whole and, if reasonably necessary, a single local counsel for all Indemnitees taken as a whole in each relevant material jurisdiction, and solely in the case of a conflict of interest, one additional counsel in each relevant material jurisdiction to each group of affected Indemnitees similarly situated taken as a whole) any actual or threatened claim, litigation, investigation or proceeding relating to the Transactions or to the execution, delivery, enforcement, performance and administration of this Agreement, the other Loan Documents, the Loans, the Letters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 whether based on contract, tort or any other theory (including any investigation of, preparation for, or defense of any pending or threatened claim, litigation, investigation or proceeding), and regardless of whether any Indemnitee is a party thereto (all the foregoing, collectively, the “</w:t>
      </w:r>
      <w:r>
        <w:rPr>
          <w:rFonts w:ascii="Times New Roman" w:cs="Times New Roman" w:eastAsia="Times New Roman" w:hAnsi="Times New Roman"/>
          <w:sz w:val="20"/>
          <w:szCs w:val="20"/>
          <w:b w:val="1"/>
          <w:bCs w:val="1"/>
          <w:color w:val="auto"/>
        </w:rPr>
        <w:t>Indemnified Liabilities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expenses resulted from (a) the gross negligence, bad faith or willful misconduct of such Indemnitee or any of its Related Indemnified Persons as determined by a final, non-appealable judgment of a court of competent jurisdiction, (b) a material breach of any obligations under any Loan Document by such Indemnitee or any of its Related Indemnified Persons as determined by a final, non-appealable judgment of a court of competent jurisdiction or (c) any dispute solely among Indemnitees other than any claims against an Indemnitee in its capacity or in fulfilling its role as an administrative agent or arranger or any similar role under any Loan Document and other than any claims arising out of any act or omission of Holdings or any of its Affiliates (as determined by a final, non-appealable judgment of a court of competent jurisdiction). To the extent that the undertakings to indemnify and hold harmless set forth in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may be unenforceable in whole or in part because they are violative of any applicable Law or public policy, the Borrower shall contribute the maximum portion that it is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 through IntraLinks or other similar information transmission systems in connection with this Agreement (except to the extent such damages are found in a final non-appealable judgment of a court of competent jurisdiction to have resulted from the willful misconduct, bad faith or gross negligence of such Indemnitee),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for which such Indemnitee is otherwise entitled to indemnification pursuant to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 the case of an investigation, litigation or other proceeding to which the indemnity in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shall be paid within thirty (30) calendar days after written demand therefor. The agreements in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shall survive the resignation of the Administrative Agent, the replacement of any Lender, the termination of the Aggregate Commitments and the repayment, satisfaction or discharge of all the other Obligations.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shall not apply to Taxes, except any Taxes that represent losses, claims or damages arising from any non-tax claim. Notwithstanding the foregoing, each Indemnitee shall be obligated to refund and return promptly any and all amounts paid by any Loan Party or any of its Affiliates under this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to such Indemnitee for any such fees, expenses or damages to the extent such Indemnitee is not entitled to payment of such amounts in accordance with the terms hereof as determined by a final judgment of a court of competent jurisdiction.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52" w:name="page353"/>
    <w:bookmarkEnd w:id="352"/>
    <w:p>
      <w:pPr>
        <w:ind w:firstLine="1497"/>
        <w:spacing w:after="0" w:line="242" w:lineRule="auto"/>
        <w:rPr>
          <w:sz w:val="20"/>
          <w:szCs w:val="20"/>
          <w:color w:val="auto"/>
        </w:rPr>
      </w:pPr>
      <w:r>
        <w:rPr>
          <w:rFonts w:ascii="Times New Roman" w:cs="Times New Roman" w:eastAsia="Times New Roman" w:hAnsi="Times New Roman"/>
          <w:sz w:val="20"/>
          <w:szCs w:val="20"/>
          <w:color w:val="auto"/>
        </w:rPr>
        <w:t>SECTION 10.06 Marshaling; Payments Set Aside. None of the Administrative Agent or any Lender shall be under any obligation to marshal any assets in favor of the Loan Parties or any other party or against or in payment of any or all of the Obligations.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Overnight Rate from time to time in effect.</w:t>
      </w:r>
    </w:p>
    <w:p>
      <w:pPr>
        <w:spacing w:after="0" w:line="192"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10.07</w:t>
      </w:r>
      <w:r>
        <w:rPr>
          <w:sz w:val="20"/>
          <w:szCs w:val="20"/>
          <w:color w:val="auto"/>
        </w:rPr>
        <w:tab/>
      </w:r>
      <w:r>
        <w:rPr>
          <w:rFonts w:ascii="Times New Roman" w:cs="Times New Roman" w:eastAsia="Times New Roman" w:hAnsi="Times New Roman"/>
          <w:sz w:val="19"/>
          <w:szCs w:val="19"/>
          <w:color w:val="auto"/>
        </w:rPr>
        <w:t>Successors and Assigns.</w:t>
      </w:r>
    </w:p>
    <w:p>
      <w:pPr>
        <w:spacing w:after="0" w:line="216" w:lineRule="exact"/>
        <w:rPr>
          <w:sz w:val="20"/>
          <w:szCs w:val="20"/>
          <w:color w:val="auto"/>
        </w:rPr>
      </w:pPr>
    </w:p>
    <w:p>
      <w:pPr>
        <w:ind w:right="60" w:firstLine="1505"/>
        <w:spacing w:after="0" w:line="242" w:lineRule="auto"/>
        <w:tabs>
          <w:tab w:leader="none" w:pos="1893" w:val="left"/>
        </w:tabs>
        <w:numPr>
          <w:ilvl w:val="0"/>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registered assigns permitted hereby, except that neither Holdings nor the Borrower may, except as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assign or otherwise transfer any of its rights or obligations hereunder without the prior written consent of the Administrative Agent and each Lender and no Lender may assign or otherwise transfer any of its rights or obligations hereunder (including to existing Lenders and their Affiliates) except (a) to an assignee in accordance with the provisions of </w:t>
      </w:r>
      <w:r>
        <w:rPr>
          <w:rFonts w:ascii="Times New Roman" w:cs="Times New Roman" w:eastAsia="Times New Roman" w:hAnsi="Times New Roman"/>
          <w:sz w:val="20"/>
          <w:szCs w:val="20"/>
          <w:u w:val="single" w:color="auto"/>
          <w:color w:val="auto"/>
        </w:rPr>
        <w:t>Section 10.07(2)</w:t>
      </w:r>
      <w:r>
        <w:rPr>
          <w:rFonts w:ascii="Times New Roman" w:cs="Times New Roman" w:eastAsia="Times New Roman" w:hAnsi="Times New Roman"/>
          <w:sz w:val="20"/>
          <w:szCs w:val="20"/>
          <w:color w:val="auto"/>
        </w:rPr>
        <w:t xml:space="preserve"> (such an assignee, an “</w:t>
      </w:r>
      <w:r>
        <w:rPr>
          <w:rFonts w:ascii="Times New Roman" w:cs="Times New Roman" w:eastAsia="Times New Roman" w:hAnsi="Times New Roman"/>
          <w:sz w:val="20"/>
          <w:szCs w:val="20"/>
          <w:b w:val="1"/>
          <w:bCs w:val="1"/>
          <w:color w:val="auto"/>
        </w:rPr>
        <w:t>Eligible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Assignee</w:t>
      </w:r>
      <w:r>
        <w:rPr>
          <w:rFonts w:ascii="Times New Roman" w:cs="Times New Roman" w:eastAsia="Times New Roman" w:hAnsi="Times New Roman"/>
          <w:sz w:val="20"/>
          <w:szCs w:val="20"/>
          <w:color w:val="auto"/>
        </w:rPr>
        <w:t>”) and (I) in the case of any Eligible Assignee that, immediately prior to or upon giving effect to such assignment, is an Affiliated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 in accordance with the provisions of </w:t>
      </w:r>
      <w:r>
        <w:rPr>
          <w:rFonts w:ascii="Times New Roman" w:cs="Times New Roman" w:eastAsia="Times New Roman" w:hAnsi="Times New Roman"/>
          <w:sz w:val="20"/>
          <w:szCs w:val="20"/>
          <w:u w:val="single" w:color="auto"/>
          <w:color w:val="auto"/>
        </w:rPr>
        <w:t>Section 10.07(8)</w:t>
      </w:r>
      <w:r>
        <w:rPr>
          <w:rFonts w:ascii="Times New Roman" w:cs="Times New Roman" w:eastAsia="Times New Roman" w:hAnsi="Times New Roman"/>
          <w:sz w:val="20"/>
          <w:szCs w:val="20"/>
          <w:color w:val="auto"/>
        </w:rPr>
        <w:t xml:space="preserve">, (II) in the case of any Eligible Assignee that is Holdings, the Borrower or any Subsidiary of the Borrower, in accordance with the provisions of </w:t>
      </w:r>
      <w:r>
        <w:rPr>
          <w:rFonts w:ascii="Times New Roman" w:cs="Times New Roman" w:eastAsia="Times New Roman" w:hAnsi="Times New Roman"/>
          <w:sz w:val="20"/>
          <w:szCs w:val="20"/>
          <w:u w:val="single" w:color="auto"/>
          <w:color w:val="auto"/>
        </w:rPr>
        <w:t>Section 10.07(12)</w:t>
      </w:r>
      <w:r>
        <w:rPr>
          <w:rFonts w:ascii="Times New Roman" w:cs="Times New Roman" w:eastAsia="Times New Roman" w:hAnsi="Times New Roman"/>
          <w:sz w:val="20"/>
          <w:szCs w:val="20"/>
          <w:color w:val="auto"/>
        </w:rPr>
        <w:t xml:space="preserve"> or (III) in the case of any Eligible Assignee that, immediately prior to or upon giving effect to such assignment, is a Debt Fund Affiliate, in accordance with the provisions of </w:t>
      </w:r>
      <w:r>
        <w:rPr>
          <w:rFonts w:ascii="Times New Roman" w:cs="Times New Roman" w:eastAsia="Times New Roman" w:hAnsi="Times New Roman"/>
          <w:sz w:val="20"/>
          <w:szCs w:val="20"/>
          <w:u w:val="single" w:color="auto"/>
          <w:color w:val="auto"/>
        </w:rPr>
        <w:t>Section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10.07(11)</w:t>
      </w:r>
      <w:r>
        <w:rPr>
          <w:rFonts w:ascii="Times New Roman" w:cs="Times New Roman" w:eastAsia="Times New Roman" w:hAnsi="Times New Roman"/>
          <w:sz w:val="20"/>
          <w:szCs w:val="20"/>
          <w:color w:val="auto"/>
        </w:rPr>
        <w:t xml:space="preserve">, (b) by way of participation in accordance with the provisions of </w:t>
      </w:r>
      <w:r>
        <w:rPr>
          <w:rFonts w:ascii="Times New Roman" w:cs="Times New Roman" w:eastAsia="Times New Roman" w:hAnsi="Times New Roman"/>
          <w:sz w:val="20"/>
          <w:szCs w:val="20"/>
          <w:u w:val="single" w:color="auto"/>
          <w:color w:val="auto"/>
        </w:rPr>
        <w:t>Section 10.07(4)</w:t>
      </w:r>
      <w:r>
        <w:rPr>
          <w:rFonts w:ascii="Times New Roman" w:cs="Times New Roman" w:eastAsia="Times New Roman" w:hAnsi="Times New Roman"/>
          <w:sz w:val="20"/>
          <w:szCs w:val="20"/>
          <w:color w:val="auto"/>
        </w:rPr>
        <w:t xml:space="preserve">, (c) by way of pledge or assignment of a security interest subject to the restrictions of </w:t>
      </w:r>
      <w:r>
        <w:rPr>
          <w:rFonts w:ascii="Times New Roman" w:cs="Times New Roman" w:eastAsia="Times New Roman" w:hAnsi="Times New Roman"/>
          <w:sz w:val="20"/>
          <w:szCs w:val="20"/>
          <w:u w:val="single" w:color="auto"/>
          <w:color w:val="auto"/>
        </w:rPr>
        <w:t>Section 10.07(13)</w:t>
      </w:r>
      <w:r>
        <w:rPr>
          <w:rFonts w:ascii="Times New Roman" w:cs="Times New Roman" w:eastAsia="Times New Roman" w:hAnsi="Times New Roman"/>
          <w:sz w:val="20"/>
          <w:szCs w:val="20"/>
          <w:color w:val="auto"/>
        </w:rPr>
        <w:t xml:space="preserve"> and (d) to an SPC in accordance with the provisions of </w:t>
      </w:r>
      <w:r>
        <w:rPr>
          <w:rFonts w:ascii="Times New Roman" w:cs="Times New Roman" w:eastAsia="Times New Roman" w:hAnsi="Times New Roman"/>
          <w:sz w:val="20"/>
          <w:szCs w:val="20"/>
          <w:u w:val="single" w:color="auto"/>
          <w:color w:val="auto"/>
        </w:rPr>
        <w:t>Section 10.07(7)</w:t>
      </w:r>
      <w:r>
        <w:rPr>
          <w:rFonts w:ascii="Times New Roman" w:cs="Times New Roman" w:eastAsia="Times New Roman" w:hAnsi="Times New Roman"/>
          <w:sz w:val="20"/>
          <w:szCs w:val="20"/>
          <w:color w:val="auto"/>
        </w:rPr>
        <w:t xml:space="preserve"> (and any other attempted assignment or transfer by any party hereto shall be null and void) (or in the case of any such attempted assignment or transfer to a Disqualified Institution shall be subject to the provisions set forth in the fourth sentence of the definition of “Lender”).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Section 10.07(4)</w:t>
      </w:r>
      <w:r>
        <w:rPr>
          <w:rFonts w:ascii="Times New Roman" w:cs="Times New Roman" w:eastAsia="Times New Roman" w:hAnsi="Times New Roman"/>
          <w:sz w:val="20"/>
          <w:szCs w:val="20"/>
          <w:color w:val="auto"/>
        </w:rPr>
        <w:t xml:space="preserve"> and, to the extent expressly contemplated hereby, Related Persons of each of the Administrative Agent and the Lenders) any legal or equitable right, remedy or claim under or by reason of this Agreement.</w:t>
      </w:r>
    </w:p>
    <w:p>
      <w:pPr>
        <w:spacing w:after="0" w:line="190" w:lineRule="exact"/>
        <w:rPr>
          <w:rFonts w:ascii="Times New Roman" w:cs="Times New Roman" w:eastAsia="Times New Roman" w:hAnsi="Times New Roman"/>
          <w:sz w:val="20"/>
          <w:szCs w:val="20"/>
          <w:color w:val="auto"/>
        </w:rPr>
      </w:pPr>
    </w:p>
    <w:p>
      <w:pPr>
        <w:ind w:right="220" w:firstLine="1505"/>
        <w:spacing w:after="0" w:line="249" w:lineRule="auto"/>
        <w:tabs>
          <w:tab w:leader="none" w:pos="1893" w:val="left"/>
        </w:tabs>
        <w:numPr>
          <w:ilvl w:val="0"/>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10.07(2)</w:t>
      </w:r>
      <w:r>
        <w:rPr>
          <w:rFonts w:ascii="Times New Roman" w:cs="Times New Roman" w:eastAsia="Times New Roman" w:hAnsi="Times New Roman"/>
          <w:sz w:val="20"/>
          <w:szCs w:val="20"/>
          <w:color w:val="auto"/>
        </w:rPr>
        <w:t xml:space="preserve">, participations in L/C Obligations and Swing Line Loans) at the time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76" w:lineRule="exact"/>
        <w:rPr>
          <w:sz w:val="20"/>
          <w:szCs w:val="20"/>
          <w:color w:val="auto"/>
        </w:rPr>
      </w:pPr>
    </w:p>
    <w:p>
      <w:pPr>
        <w:ind w:left="2280" w:hanging="400"/>
        <w:spacing w:after="0"/>
        <w:tabs>
          <w:tab w:leader="none" w:pos="2280" w:val="left"/>
        </w:tabs>
        <w:numPr>
          <w:ilvl w:val="1"/>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Minimum Amounts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right="100" w:firstLine="1505"/>
        <w:spacing w:after="0" w:line="254" w:lineRule="auto"/>
        <w:tabs>
          <w:tab w:leader="none" w:pos="1893"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-328295</wp:posOffset>
            </wp:positionV>
            <wp:extent cx="2514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53" w:name="page354"/>
    <w:bookmarkEnd w:id="353"/>
    <w:p>
      <w:pPr>
        <w:ind w:right="20" w:firstLine="1505"/>
        <w:spacing w:after="0" w:line="242" w:lineRule="auto"/>
        <w:tabs>
          <w:tab w:leader="none" w:pos="1893" w:val="left"/>
        </w:tabs>
        <w:numPr>
          <w:ilvl w:val="0"/>
          <w:numId w:val="4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subsection (2)(a)(i)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the aggregate amount of the Commitment or, the principal outstanding balance of the Loans of the assigning Lender subject to each such assignment, determined as of the date the Assignment and Assumption with respect to such assignment is delivered to the Administrative Agent or, if a “Trade Date” is specified in the Assignment and Assumption, as of the Trade Date, shall not be less than $1,000,000, in the case of Term Loans, and not less than $5,000,000, in the case of Revolving Loans and Revolving Commitments, unless each of the Administrative Agent and, so long as no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solely with respect to the Borrower,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has occurred and is continuing, the Borrower otherwise consents (in the case of an assignment of Term Loans, each such consent not to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solely in respect of assignments of Term Loans, the consent of the Borrower shall be deemed given if the Borrower has not responded to such request for consent within ten (10) Business Days of receipt by a Responsible Officer of the Borrower in writing of such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concurrent assignments to members of an Assignee Group and concurrent assignments from members of an Assignee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Group to a single Eligible Assignee (or to an Eligible Assignee and members of its Assignee Group) will be treated as a single assignment for purposes of determining whether such minimum amount has been met.</w:t>
      </w:r>
    </w:p>
    <w:p>
      <w:pPr>
        <w:spacing w:after="0" w:line="183" w:lineRule="exact"/>
        <w:rPr>
          <w:rFonts w:ascii="Times New Roman" w:cs="Times New Roman" w:eastAsia="Times New Roman" w:hAnsi="Times New Roman"/>
          <w:sz w:val="20"/>
          <w:szCs w:val="20"/>
          <w:u w:val="single" w:color="auto"/>
          <w:color w:val="auto"/>
        </w:rPr>
      </w:pPr>
    </w:p>
    <w:p>
      <w:pPr>
        <w:ind w:right="240" w:firstLine="1880"/>
        <w:spacing w:after="0" w:line="256" w:lineRule="auto"/>
        <w:tabs>
          <w:tab w:leader="none" w:pos="2268" w:val="left"/>
        </w:tabs>
        <w:numPr>
          <w:ilvl w:val="1"/>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assigning Lender’s rights and obligations under this Agreement with respect to the Loans or the Commitment assigned (it being understood that assignments under separate Facilities shall not be required to be made on a pro rata basis).</w:t>
      </w:r>
    </w:p>
    <w:p>
      <w:pPr>
        <w:spacing w:after="0" w:line="168"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Required Consents</w:t>
      </w:r>
      <w:r>
        <w:rPr>
          <w:rFonts w:ascii="Times New Roman" w:cs="Times New Roman" w:eastAsia="Times New Roman" w:hAnsi="Times New Roman"/>
          <w:sz w:val="20"/>
          <w:szCs w:val="20"/>
          <w:color w:val="auto"/>
        </w:rPr>
        <w:t>. No consent shall be required for any assignment except to the extent required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10.07(2)(a)(ii)</w:t>
      </w:r>
      <w:r>
        <w:rPr>
          <w:rFonts w:ascii="Times New Roman" w:cs="Times New Roman" w:eastAsia="Times New Roman" w:hAnsi="Times New Roman"/>
          <w:sz w:val="20"/>
          <w:szCs w:val="20"/>
          <w:color w:val="auto"/>
        </w:rPr>
        <w:t xml:space="preserve"> and, in addition:</w:t>
      </w:r>
    </w:p>
    <w:p>
      <w:pPr>
        <w:spacing w:after="0" w:line="194" w:lineRule="exact"/>
        <w:rPr>
          <w:sz w:val="20"/>
          <w:szCs w:val="20"/>
          <w:color w:val="auto"/>
        </w:rPr>
      </w:pPr>
    </w:p>
    <w:p>
      <w:pPr>
        <w:ind w:firstLine="1505"/>
        <w:spacing w:after="0" w:line="241" w:lineRule="auto"/>
        <w:tabs>
          <w:tab w:leader="none" w:pos="1893" w:val="left"/>
        </w:tabs>
        <w:numPr>
          <w:ilvl w:val="0"/>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conditioned or delayed) shall be required unless (I) an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solely with respect to the Borrower,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has occurred and is continuing at the time of such assignment determined as of the date the Assignment and Assumption with respect to such assignment is delivered to the Administrative Agent or, if a “Trade Date” is specified in the Assignment and Assumption, as of the Trade Date or (II) in respect of an assignment of all or a portion of the Term Loans only, such assignment is to a Lender, an Affiliate of a Lender or an Approved Fund;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notwithstanding the foregoing, it shall not be unreasonable for the Borrower to withhold its consent to any assignment to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Person (including any person that manages or advises funds) that invests (directly or indirectly, including through Affiliates) in distressed debt, “special situations” or “opportunities” or that that is not expressly a Disqualified Institution but is known by the Borrower to be an Affiliate of a Disqualified Institution without regard as to whether such Person is identifiable as an Affiliate of a Disqualified Institution on the basis of such Affiliate’s name or otherwise;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consent of the Borrower shall be required for an assignment of all or a portion of the Loans pursuant to </w:t>
      </w:r>
      <w:r>
        <w:rPr>
          <w:rFonts w:ascii="Times New Roman" w:cs="Times New Roman" w:eastAsia="Times New Roman" w:hAnsi="Times New Roman"/>
          <w:sz w:val="20"/>
          <w:szCs w:val="20"/>
          <w:u w:val="single" w:color="auto"/>
          <w:color w:val="auto"/>
        </w:rPr>
        <w:t>Section 10.07(8)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solely in respect of assignments of Term Loans, the consent of the Borrower shall be deemed given if the Borrower has not responded to such request for consent within ten (10) Business Days of receipt by a Responsible Officer of the Borrower in writing of such request;</w:t>
      </w:r>
    </w:p>
    <w:p>
      <w:pPr>
        <w:spacing w:after="0" w:line="197" w:lineRule="exact"/>
        <w:rPr>
          <w:rFonts w:ascii="Times New Roman" w:cs="Times New Roman" w:eastAsia="Times New Roman" w:hAnsi="Times New Roman"/>
          <w:sz w:val="20"/>
          <w:szCs w:val="20"/>
          <w:color w:val="auto"/>
        </w:rPr>
      </w:pPr>
    </w:p>
    <w:p>
      <w:pPr>
        <w:ind w:right="40" w:firstLine="1505"/>
        <w:spacing w:after="0" w:line="249" w:lineRule="auto"/>
        <w:tabs>
          <w:tab w:leader="none" w:pos="1893" w:val="left"/>
        </w:tabs>
        <w:numPr>
          <w:ilvl w:val="0"/>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Administrative Agent (such consent not to be unreasonably withheld, conditioned or delayed) shall be required if such assignment is to a Person that is not a Lender, an Affiliate of such Lender or an Approved Fund with respect to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of all or a portion of the Loans pursuant to </w:t>
      </w:r>
      <w:r>
        <w:rPr>
          <w:rFonts w:ascii="Times New Roman" w:cs="Times New Roman" w:eastAsia="Times New Roman" w:hAnsi="Times New Roman"/>
          <w:sz w:val="20"/>
          <w:szCs w:val="20"/>
          <w:u w:val="single" w:color="auto"/>
          <w:color w:val="auto"/>
        </w:rPr>
        <w:t>Section 10.07(8)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4" w:name="page355"/>
    <w:bookmarkEnd w:id="354"/>
    <w:p>
      <w:pPr>
        <w:ind w:right="440" w:firstLine="1505"/>
        <w:spacing w:after="0" w:line="254" w:lineRule="auto"/>
        <w:tabs>
          <w:tab w:leader="none" w:pos="1893"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each applicable Issuing Bank at the time of such assignment (such consent not to be unreasonably withheld, conditioned or delayed) shall be required;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the applicable Issuing Bank shall be required for any assignment not related to Revolving Commitments or Revolving Exposure;</w:t>
      </w:r>
    </w:p>
    <w:p>
      <w:pPr>
        <w:spacing w:after="0" w:line="174" w:lineRule="exact"/>
        <w:rPr>
          <w:rFonts w:ascii="Times New Roman" w:cs="Times New Roman" w:eastAsia="Times New Roman" w:hAnsi="Times New Roman"/>
          <w:sz w:val="20"/>
          <w:szCs w:val="20"/>
          <w:color w:val="auto"/>
        </w:rPr>
      </w:pPr>
    </w:p>
    <w:p>
      <w:pPr>
        <w:jc w:val="both"/>
        <w:ind w:right="80" w:firstLine="1505"/>
        <w:spacing w:after="0" w:line="254" w:lineRule="auto"/>
        <w:tabs>
          <w:tab w:leader="none" w:pos="1893"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each Swing Line Lender (such consent not to be unreasonably withheld, conditioned or delayed) shall be required;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a Swing Line Lender shall be required for any assignment not related to Revolving Commitments or Revolving Exposure; and</w:t>
      </w:r>
    </w:p>
    <w:p>
      <w:pPr>
        <w:spacing w:after="0" w:line="174" w:lineRule="exact"/>
        <w:rPr>
          <w:rFonts w:ascii="Times New Roman" w:cs="Times New Roman" w:eastAsia="Times New Roman" w:hAnsi="Times New Roman"/>
          <w:sz w:val="20"/>
          <w:szCs w:val="20"/>
          <w:color w:val="auto"/>
        </w:rPr>
      </w:pPr>
    </w:p>
    <w:p>
      <w:pPr>
        <w:ind w:firstLine="1505"/>
        <w:spacing w:after="0" w:line="242" w:lineRule="auto"/>
        <w:tabs>
          <w:tab w:leader="none" w:pos="1893"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assignments (but not, for the avoidance of doubt, Participations) of any Commitments and Loans under any Revolving Facility, the consent of the Investor shall be required (such consent not to be unreasonably withheld or delayed) (so long as the Investor and the Co-Investors holds, directly or indirectly, at least a majority of the aggregate ordinary voting power represented by the issued and outstanding Equity Interests of the Borrower) unless an Event of Default under </w:t>
      </w:r>
      <w:r>
        <w:rPr>
          <w:rFonts w:ascii="Times New Roman" w:cs="Times New Roman" w:eastAsia="Times New Roman" w:hAnsi="Times New Roman"/>
          <w:sz w:val="20"/>
          <w:szCs w:val="20"/>
          <w:u w:val="single" w:color="auto"/>
          <w:color w:val="auto"/>
        </w:rPr>
        <w:t>Section 8.01(1)</w:t>
      </w:r>
      <w:r>
        <w:rPr>
          <w:rFonts w:ascii="Times New Roman" w:cs="Times New Roman" w:eastAsia="Times New Roman" w:hAnsi="Times New Roman"/>
          <w:sz w:val="20"/>
          <w:szCs w:val="20"/>
          <w:color w:val="auto"/>
        </w:rPr>
        <w:t xml:space="preserve"> or, solely with respect to the Borrower, </w:t>
      </w:r>
      <w:r>
        <w:rPr>
          <w:rFonts w:ascii="Times New Roman" w:cs="Times New Roman" w:eastAsia="Times New Roman" w:hAnsi="Times New Roman"/>
          <w:sz w:val="20"/>
          <w:szCs w:val="20"/>
          <w:u w:val="single" w:color="auto"/>
          <w:color w:val="auto"/>
        </w:rPr>
        <w:t>Section 8.01(6)</w:t>
      </w:r>
      <w:r>
        <w:rPr>
          <w:rFonts w:ascii="Times New Roman" w:cs="Times New Roman" w:eastAsia="Times New Roman" w:hAnsi="Times New Roman"/>
          <w:sz w:val="20"/>
          <w:szCs w:val="20"/>
          <w:color w:val="auto"/>
        </w:rPr>
        <w:t xml:space="preserve"> has occurred and is continuing at the time of such assignment determined as of the date the Assignment and Assumption with respect to such assignment is delivered to the Administrative Agent or, if a “Trade Date” is specified in the Assignment and Assumption, as of the Trade Date (it being understood that the Investor shall be an express third party beneficiary of the provisions in this </w:t>
      </w:r>
      <w:r>
        <w:rPr>
          <w:rFonts w:ascii="Times New Roman" w:cs="Times New Roman" w:eastAsia="Times New Roman" w:hAnsi="Times New Roman"/>
          <w:sz w:val="20"/>
          <w:szCs w:val="20"/>
          <w:u w:val="single" w:color="auto"/>
          <w:color w:val="auto"/>
        </w:rPr>
        <w:t>Section 10.07(2)(c)(v)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further that, notwithstanding the foregoing, the Investor may, in its sole discretion, withhold its consent to any assignment to any Person to any assignment to any Person (including any person that manages or advises funds) that invests (directly or indirectly, including through Affiliates) in distressed debt, “special situations” or “opportunities” or that that is not expressly a Disqualified Institution but is known by the Investor to be an Affiliate of a Disqualified Institution without regard as to whether such Person is identifiable as an Affiliate of a Disqualified Institution on the basis of such Affiliate’s name or otherwise.</w:t>
      </w:r>
    </w:p>
    <w:p>
      <w:pPr>
        <w:spacing w:after="0" w:line="183" w:lineRule="exact"/>
        <w:rPr>
          <w:rFonts w:ascii="Times New Roman" w:cs="Times New Roman" w:eastAsia="Times New Roman" w:hAnsi="Times New Roman"/>
          <w:sz w:val="20"/>
          <w:szCs w:val="20"/>
          <w:color w:val="auto"/>
        </w:rPr>
      </w:pPr>
    </w:p>
    <w:p>
      <w:pPr>
        <w:ind w:right="160" w:firstLine="1880"/>
        <w:spacing w:after="0" w:line="245" w:lineRule="auto"/>
        <w:tabs>
          <w:tab w:leader="none" w:pos="2268" w:val="left"/>
        </w:tabs>
        <w:numPr>
          <w:ilvl w:val="1"/>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Assignment and Assumption</w:t>
      </w:r>
      <w:r>
        <w:rPr>
          <w:rFonts w:ascii="Times New Roman" w:cs="Times New Roman" w:eastAsia="Times New Roman" w:hAnsi="Times New Roman"/>
          <w:sz w:val="20"/>
          <w:szCs w:val="20"/>
          <w:color w:val="auto"/>
        </w:rPr>
        <w:t>. The parties to each assignment shall execute and deliver to the Administrative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Agent an Assignment and Assumption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provided that no such processing and recordation fee shall be earned or payable for any assignment to a Lender, an Affiliate of a Lender, or an Approved Fund of a Lender. Other than in the case of assignments pursuant to </w:t>
      </w:r>
      <w:r>
        <w:rPr>
          <w:rFonts w:ascii="Times New Roman" w:cs="Times New Roman" w:eastAsia="Times New Roman" w:hAnsi="Times New Roman"/>
          <w:sz w:val="20"/>
          <w:szCs w:val="20"/>
          <w:u w:val="single" w:color="auto"/>
          <w:color w:val="auto"/>
        </w:rPr>
        <w:t>Section 10.07(12)</w:t>
      </w:r>
      <w:r>
        <w:rPr>
          <w:rFonts w:ascii="Times New Roman" w:cs="Times New Roman" w:eastAsia="Times New Roman" w:hAnsi="Times New Roman"/>
          <w:sz w:val="20"/>
          <w:szCs w:val="20"/>
          <w:color w:val="auto"/>
        </w:rPr>
        <w:t>, the Eligible Assignee, if it shall not be a Lender, shall deliver to the Administrative Agent an Administrative Questionnaire and all applicable tax forms.</w:t>
      </w:r>
    </w:p>
    <w:p>
      <w:pPr>
        <w:spacing w:after="0" w:line="179" w:lineRule="exact"/>
        <w:rPr>
          <w:rFonts w:ascii="Times New Roman" w:cs="Times New Roman" w:eastAsia="Times New Roman" w:hAnsi="Times New Roman"/>
          <w:sz w:val="20"/>
          <w:szCs w:val="20"/>
          <w:color w:val="auto"/>
        </w:rPr>
      </w:pPr>
    </w:p>
    <w:p>
      <w:pPr>
        <w:ind w:right="100" w:firstLine="1880"/>
        <w:spacing w:after="0" w:line="250" w:lineRule="auto"/>
        <w:tabs>
          <w:tab w:leader="none" w:pos="2268" w:val="left"/>
        </w:tabs>
        <w:numPr>
          <w:ilvl w:val="1"/>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Assignments to Certain Persons</w:t>
      </w:r>
      <w:r>
        <w:rPr>
          <w:rFonts w:ascii="Times New Roman" w:cs="Times New Roman" w:eastAsia="Times New Roman" w:hAnsi="Times New Roman"/>
          <w:sz w:val="20"/>
          <w:szCs w:val="20"/>
          <w:color w:val="auto"/>
        </w:rPr>
        <w:t>. No such assignment shall be made (i) to Holdings, the Borrower or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Subsidiary except as permitted under </w:t>
      </w:r>
      <w:r>
        <w:rPr>
          <w:rFonts w:ascii="Times New Roman" w:cs="Times New Roman" w:eastAsia="Times New Roman" w:hAnsi="Times New Roman"/>
          <w:sz w:val="20"/>
          <w:szCs w:val="20"/>
          <w:u w:val="single" w:color="auto"/>
          <w:color w:val="auto"/>
        </w:rPr>
        <w:t>Sections 2.05(1)(e)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10.07(12)</w:t>
      </w:r>
      <w:r>
        <w:rPr>
          <w:rFonts w:ascii="Times New Roman" w:cs="Times New Roman" w:eastAsia="Times New Roman" w:hAnsi="Times New Roman"/>
          <w:sz w:val="20"/>
          <w:szCs w:val="20"/>
          <w:color w:val="auto"/>
        </w:rPr>
        <w:t xml:space="preserve">, (ii) subject to </w:t>
      </w:r>
      <w:r>
        <w:rPr>
          <w:rFonts w:ascii="Times New Roman" w:cs="Times New Roman" w:eastAsia="Times New Roman" w:hAnsi="Times New Roman"/>
          <w:sz w:val="20"/>
          <w:szCs w:val="20"/>
          <w:u w:val="single" w:color="auto"/>
          <w:color w:val="auto"/>
        </w:rPr>
        <w:t>Section 10.07(8)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below, to any Affiliate of the Borrower, (iii) to a natural Person (or a holding company, investment vehicle or trust for, or owned and operated by or for the primary benefit of one or more natural Persons), (iv) to any Disqualified Institution or (v) to any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-1628140</wp:posOffset>
            </wp:positionV>
            <wp:extent cx="2514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2">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-470535</wp:posOffset>
            </wp:positionV>
            <wp:extent cx="25146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60"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0"/>
          <w:szCs w:val="20"/>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 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5" w:name="page356"/>
    <w:bookmarkEnd w:id="355"/>
    <w:p>
      <w:pPr>
        <w:ind w:right="40"/>
        <w:spacing w:after="0" w:line="263" w:lineRule="auto"/>
        <w:rPr>
          <w:sz w:val="20"/>
          <w:szCs w:val="20"/>
          <w:color w:val="auto"/>
        </w:rPr>
      </w:pPr>
      <w:r>
        <w:rPr>
          <w:rFonts w:ascii="Times New Roman" w:cs="Times New Roman" w:eastAsia="Times New Roman" w:hAnsi="Times New Roman"/>
          <w:sz w:val="19"/>
          <w:szCs w:val="19"/>
          <w:color w:val="auto"/>
        </w:rPr>
        <w:t>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6" w:lineRule="exact"/>
        <w:rPr>
          <w:sz w:val="20"/>
          <w:szCs w:val="20"/>
          <w:color w:val="auto"/>
        </w:rPr>
      </w:pPr>
    </w:p>
    <w:p>
      <w:pPr>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(and, in the case of an Affiliated Lender or a Person that, after giving effect to such assignment, would become an Affiliated Lender, to the requirements of </w:t>
      </w:r>
      <w:r>
        <w:rPr>
          <w:rFonts w:ascii="Times New Roman" w:cs="Times New Roman" w:eastAsia="Times New Roman" w:hAnsi="Times New Roman"/>
          <w:sz w:val="20"/>
          <w:szCs w:val="20"/>
          <w:u w:val="single" w:color="auto"/>
          <w:color w:val="auto"/>
        </w:rPr>
        <w:t>clause (8)</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from and after the effective date specified in each Assignment and Assumption, other than in connection with an assignment pursuant to </w:t>
      </w:r>
      <w:r>
        <w:rPr>
          <w:rFonts w:ascii="Times New Roman" w:cs="Times New Roman" w:eastAsia="Times New Roman" w:hAnsi="Times New Roman"/>
          <w:sz w:val="20"/>
          <w:szCs w:val="20"/>
          <w:u w:val="single" w:color="auto"/>
          <w:color w:val="auto"/>
        </w:rPr>
        <w:t>Section 10.07(12)</w:t>
      </w:r>
      <w:r>
        <w:rPr>
          <w:rFonts w:ascii="Times New Roman" w:cs="Times New Roman" w:eastAsia="Times New Roman" w:hAnsi="Times New Roman"/>
          <w:sz w:val="20"/>
          <w:szCs w:val="20"/>
          <w:color w:val="auto"/>
        </w:rPr>
        <w:t xml:space="preserve">, (x) the assignee thereunder shall be a party to this Agreement and, to the extent of the interest assigned by such Assignment and Assumption, have the rights and obligations of a Lender under this Agreement and (y)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w:t>
      </w:r>
    </w:p>
    <w:p>
      <w:pPr>
        <w:spacing w:after="0" w:line="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xml:space="preserve"> with respect to facts and circumstances occurring prior to the effective date of such assignment), but shall in any event continue to be subject to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Upon request, and the surrender by the assigning Lender of its Note,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10.07(4)</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right="140" w:firstLine="1497"/>
        <w:spacing w:after="0" w:line="246" w:lineRule="auto"/>
        <w:rPr>
          <w:sz w:val="20"/>
          <w:szCs w:val="20"/>
          <w:color w:val="auto"/>
        </w:rPr>
      </w:pPr>
      <w:r>
        <w:rPr>
          <w:rFonts w:ascii="Times New Roman" w:cs="Times New Roman" w:eastAsia="Times New Roman" w:hAnsi="Times New Roman"/>
          <w:sz w:val="20"/>
          <w:szCs w:val="20"/>
          <w:color w:val="auto"/>
        </w:rPr>
        <w:t xml:space="preserve">EACH LENDER HEREBY ACKNOWLEDGES THAT HOLDINGS AND THE BORROWER OR ANY OF THEIR RESPECTIVE SUBSIDIARIES, ANY AFFILIATED LENDER (INCLUDING ANY INVESTOR) AND ANY DEBT FUND AFFILIATE MAY FROM TIME TO TIME PURCHASE OR TAKE ASSIGNMENT OF TERM LOANS HEREUNDER IN ACCORDANCE WITH THE PROVISIONS SET FORTH IN THIS AGREEMENT, INCLUDING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xml:space="preserve"> (INCLUDING THROUGH OPEN MARKET PURCHASES).</w:t>
      </w:r>
    </w:p>
    <w:p>
      <w:pPr>
        <w:spacing w:after="0" w:line="185" w:lineRule="exact"/>
        <w:rPr>
          <w:sz w:val="20"/>
          <w:szCs w:val="20"/>
          <w:color w:val="auto"/>
        </w:rPr>
      </w:pPr>
    </w:p>
    <w:p>
      <w:pPr>
        <w:ind w:firstLine="1505"/>
        <w:spacing w:after="0" w:line="241" w:lineRule="auto"/>
        <w:tabs>
          <w:tab w:leader="none" w:pos="1893" w:val="left"/>
        </w:tabs>
        <w:numPr>
          <w:ilvl w:val="0"/>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acting solely for this purpose as an agent of the Borrower, shall maintain at the Administrative Agent’s Office a copy of each Assignment and Assumption delivered to it, each Affiliated Lender Assignment and Assumption delivered to it, each notice of cancellation of any Loans delivered by the Borrower pursuant to </w:t>
      </w:r>
      <w:r>
        <w:rPr>
          <w:rFonts w:ascii="Times New Roman" w:cs="Times New Roman" w:eastAsia="Times New Roman" w:hAnsi="Times New Roman"/>
          <w:sz w:val="20"/>
          <w:szCs w:val="20"/>
          <w:u w:val="single" w:color="auto"/>
          <w:color w:val="auto"/>
        </w:rPr>
        <w:t>subsections (8)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below, and a register for the recordation of the names and addresses of the Lenders, and the Commitments of, and principal amounts (and related interest amounts) of the Loans, L/C Obligations (specifying Unreimbursed Amounts), L/C Borrowings and amounts due under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owing to each Lender pursuant to the terms hereof from time to time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in the case of the Administrative Agent, any Affiliate thereof) and, with respect to its own Loans, any Lender, at any reasonable time and from time to time upon reasonable prior notice. The parties intend that all Loans will be treated as at all times maintained in “registered form” within the meaning of Sections 163(f), 871(h)(2) and 881(c)(2) of the Code and any related Treasury regulations (or any other relevant or successor provisions of the Code or of such Treasury regulations). Notwithstanding the foregoing, in no event shall the Administrative Agent be obligated to ascertain, monitor or inquire as to whether any Lender is an Affiliated Lender, nor shall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56" w:name="page357"/>
    <w:bookmarkEnd w:id="356"/>
    <w:p>
      <w:pPr>
        <w:ind w:right="640"/>
        <w:spacing w:after="0" w:line="269" w:lineRule="auto"/>
        <w:rPr>
          <w:sz w:val="20"/>
          <w:szCs w:val="20"/>
          <w:color w:val="auto"/>
        </w:rPr>
      </w:pPr>
      <w:r>
        <w:rPr>
          <w:rFonts w:ascii="Times New Roman" w:cs="Times New Roman" w:eastAsia="Times New Roman" w:hAnsi="Times New Roman"/>
          <w:sz w:val="20"/>
          <w:szCs w:val="20"/>
          <w:color w:val="auto"/>
        </w:rPr>
        <w:t>Administrative Agent be obligated to monitor the aggregate amount of the Term Loans or Incremental Term Loans held by Affiliated Lenders.</w:t>
      </w:r>
    </w:p>
    <w:p>
      <w:pPr>
        <w:spacing w:after="0" w:line="159" w:lineRule="exact"/>
        <w:rPr>
          <w:sz w:val="20"/>
          <w:szCs w:val="20"/>
          <w:color w:val="auto"/>
        </w:rPr>
      </w:pPr>
    </w:p>
    <w:p>
      <w:pPr>
        <w:ind w:right="100" w:firstLine="1505"/>
        <w:spacing w:after="0" w:line="254" w:lineRule="auto"/>
        <w:tabs>
          <w:tab w:leader="none" w:pos="1893" w:val="left"/>
        </w:tabs>
        <w:numPr>
          <w:ilvl w:val="0"/>
          <w:numId w:val="4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may at any time, without the consent of, or, except as set forth in the proviso below, notice to, the Borrower or the Administrative Agent, sell participations to any Person (other than a natural person, the Borrower and its Affiliates, a Defaulting Lender or a Disqualified Institution) (each, a “</w:t>
      </w:r>
      <w:r>
        <w:rPr>
          <w:rFonts w:ascii="Times New Roman" w:cs="Times New Roman" w:eastAsia="Times New Roman" w:hAnsi="Times New Roman"/>
          <w:sz w:val="19"/>
          <w:szCs w:val="19"/>
          <w:b w:val="1"/>
          <w:bCs w:val="1"/>
          <w:color w:val="auto"/>
        </w:rPr>
        <w:t>Participant</w:t>
      </w:r>
      <w:r>
        <w:rPr>
          <w:rFonts w:ascii="Times New Roman" w:cs="Times New Roman" w:eastAsia="Times New Roman" w:hAnsi="Times New Roman"/>
          <w:sz w:val="19"/>
          <w:szCs w:val="19"/>
          <w:color w:val="auto"/>
        </w:rPr>
        <w:t xml:space="preserve">”) in all or a portion of such Lender’s rights or obligations under this Agreement (including all or a portion of its Commitment or the Loans (including such Lender’s participations in L/C Obligations or Swing Line Loans) owing to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(c) the Borrower, the Agents and the other Lenders shall continue to deal solely and directly with such Lender in connection with such Lender’s rights and obligations under this Agreement and (d) in the case of any sale of a participation in a Revolving Facility, the Lender shall notify the Borrower and the Investor in writing no less than five (5) Business Days in advance thereof.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waiver or other modification described in the first proviso to Sections 10.01(1) (other than </w:t>
      </w:r>
      <w:r>
        <w:rPr>
          <w:rFonts w:ascii="Times New Roman" w:cs="Times New Roman" w:eastAsia="Times New Roman" w:hAnsi="Times New Roman"/>
          <w:sz w:val="19"/>
          <w:szCs w:val="19"/>
          <w:u w:val="single" w:color="auto"/>
          <w:color w:val="auto"/>
        </w:rPr>
        <w:t>clauses (g)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thereof) that directly and adversely affects such Participant. Subject to </w:t>
      </w:r>
      <w:r>
        <w:rPr>
          <w:rFonts w:ascii="Times New Roman" w:cs="Times New Roman" w:eastAsia="Times New Roman" w:hAnsi="Times New Roman"/>
          <w:sz w:val="19"/>
          <w:szCs w:val="19"/>
          <w:u w:val="single" w:color="auto"/>
          <w:color w:val="auto"/>
        </w:rPr>
        <w:t>subsection (5)</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xml:space="preserve">, the Borrower agrees that each Participant shall be entitled to the benefits of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(subject to the requirements of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(including </w:t>
      </w:r>
      <w:r>
        <w:rPr>
          <w:rFonts w:ascii="Times New Roman" w:cs="Times New Roman" w:eastAsia="Times New Roman" w:hAnsi="Times New Roman"/>
          <w:sz w:val="19"/>
          <w:szCs w:val="19"/>
          <w:u w:val="single" w:color="auto"/>
          <w:color w:val="auto"/>
        </w:rPr>
        <w:t>subsections (2)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(4)</w:t>
      </w:r>
      <w:r>
        <w:rPr>
          <w:rFonts w:ascii="Times New Roman" w:cs="Times New Roman" w:eastAsia="Times New Roman" w:hAnsi="Times New Roman"/>
          <w:sz w:val="19"/>
          <w:szCs w:val="19"/>
          <w:color w:val="auto"/>
        </w:rPr>
        <w:t xml:space="preserve">, as applicable) as though it were a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forms required to be provided under </w:t>
      </w:r>
      <w:r>
        <w:rPr>
          <w:rFonts w:ascii="Times New Roman" w:cs="Times New Roman" w:eastAsia="Times New Roman" w:hAnsi="Times New Roman"/>
          <w:sz w:val="19"/>
          <w:szCs w:val="19"/>
          <w:u w:val="single" w:color="auto"/>
          <w:color w:val="auto"/>
        </w:rPr>
        <w:t>Section 3.01(3</w:t>
      </w:r>
      <w:r>
        <w:rPr>
          <w:rFonts w:ascii="Times New Roman" w:cs="Times New Roman" w:eastAsia="Times New Roman" w:hAnsi="Times New Roman"/>
          <w:sz w:val="19"/>
          <w:szCs w:val="19"/>
          <w:color w:val="auto"/>
        </w:rPr>
        <w:t xml:space="preserve">) shall be provided solely to the participating Lender),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3.05</w:t>
      </w:r>
      <w:r>
        <w:rPr>
          <w:rFonts w:ascii="Times New Roman" w:cs="Times New Roman" w:eastAsia="Times New Roman" w:hAnsi="Times New Roman"/>
          <w:sz w:val="19"/>
          <w:szCs w:val="19"/>
          <w:color w:val="auto"/>
        </w:rPr>
        <w:t xml:space="preserve"> (through the applicable Lender)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subsection (2)</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xml:space="preserve">. To the extent permitted by applicable Law, each Participant also shall be entitled to the benefits of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Participant shall agree to be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as though it were a Lender.</w:t>
      </w:r>
    </w:p>
    <w:p>
      <w:pPr>
        <w:spacing w:after="0" w:line="183" w:lineRule="exact"/>
        <w:rPr>
          <w:rFonts w:ascii="Times New Roman" w:cs="Times New Roman" w:eastAsia="Times New Roman" w:hAnsi="Times New Roman"/>
          <w:sz w:val="19"/>
          <w:szCs w:val="19"/>
          <w:color w:val="auto"/>
        </w:rPr>
      </w:pPr>
    </w:p>
    <w:p>
      <w:pPr>
        <w:ind w:firstLine="1505"/>
        <w:spacing w:after="0" w:line="241" w:lineRule="auto"/>
        <w:tabs>
          <w:tab w:leader="none" w:pos="1893"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upon Participant Rights</w:t>
      </w:r>
      <w:r>
        <w:rPr>
          <w:rFonts w:ascii="Times New Roman" w:cs="Times New Roman" w:eastAsia="Times New Roman" w:hAnsi="Times New Roman"/>
          <w:sz w:val="20"/>
          <w:szCs w:val="20"/>
          <w:color w:val="auto"/>
        </w:rPr>
        <w:t xml:space="preserve">. A Participant shall not be entitled to receive any greater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except to the extent such entitlement to receive a greater payment results from a Change in Law that occurs after the Participation acquired the applicable participation. Each Lender that sells a participation shall (acting solely for this purpose as a non-fiduciary agent of the Borrower) maintain a register complying with the requirements of Sections 163(f), 871(h) and 881(c)(2) of the Code and the Treasury regulations issued thereunder on which is entered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The entries in the Participant Register shall be conclusive absent manifest error, and such Lender and the Borrower shall treat each Person whose name is recorded in the Participant Register as the owner of such participation for all purposes of this Agreement notwithstanding any notice to the contrary;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have the obligation to disclose all or a portion of the Participant Register (including the identity of the Participant or any information relating to a Participant’s interest in any commitments, loans, letters of credit or other obligations under any Loan Document) to any Person except to the extent such disclosure is necessary to establish that any such commitments, loans, letters of credit or other obligations are in registered form for U.S. federal income tax purposes or such disclosure is otherwise required under Treasury Regulations Section 5f.103-1(c), proposed Treasury Regulations Section 1.163-5 or any applicable temporary, final or other successor regulations. For the avoidance of doubt, the Administrative Agent (in its capacity as Administrative Agent) shall have no responsibility for maintaining a Participant Register.</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57" w:name="page358"/>
    <w:bookmarkEnd w:id="357"/>
    <w:p>
      <w:pPr>
        <w:ind w:left="-8" w:right="180" w:firstLine="1505"/>
        <w:spacing w:after="0" w:line="249" w:lineRule="auto"/>
        <w:tabs>
          <w:tab w:leader="none" w:pos="1885"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or any other central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5" w:lineRule="exact"/>
        <w:rPr>
          <w:rFonts w:ascii="Times New Roman" w:cs="Times New Roman" w:eastAsia="Times New Roman" w:hAnsi="Times New Roman"/>
          <w:sz w:val="20"/>
          <w:szCs w:val="20"/>
          <w:color w:val="auto"/>
        </w:rPr>
      </w:pPr>
    </w:p>
    <w:p>
      <w:pPr>
        <w:ind w:left="-8" w:firstLine="1505"/>
        <w:spacing w:after="0" w:line="241" w:lineRule="auto"/>
        <w:tabs>
          <w:tab w:leader="none" w:pos="1885"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any Lender (a “</w:t>
      </w:r>
      <w:r>
        <w:rPr>
          <w:rFonts w:ascii="Times New Roman" w:cs="Times New Roman" w:eastAsia="Times New Roman" w:hAnsi="Times New Roman"/>
          <w:sz w:val="20"/>
          <w:szCs w:val="20"/>
          <w:b w:val="1"/>
          <w:bCs w:val="1"/>
          <w:color w:val="auto"/>
        </w:rPr>
        <w:t>Granting Lender</w:t>
      </w:r>
      <w:r>
        <w:rPr>
          <w:rFonts w:ascii="Times New Roman" w:cs="Times New Roman" w:eastAsia="Times New Roman" w:hAnsi="Times New Roman"/>
          <w:sz w:val="20"/>
          <w:szCs w:val="20"/>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20"/>
          <w:szCs w:val="20"/>
          <w:b w:val="1"/>
          <w:bCs w:val="1"/>
          <w:color w:val="auto"/>
        </w:rPr>
        <w:t>SPC</w:t>
      </w:r>
      <w:r>
        <w:rPr>
          <w:rFonts w:ascii="Times New Roman" w:cs="Times New Roman" w:eastAsia="Times New Roman" w:hAnsi="Times New Roman"/>
          <w:sz w:val="20"/>
          <w:szCs w:val="20"/>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nothing herein shall constitute a commitment by any SPC to fund any Loan, (b) if an SPC elects not to exercise such option or otherwise fails to make all or any part of such Loan, the Granting Lender shall be obligated to make such Loan pursuant to the terms hereof and (c) such SPC and the applicable Loan or any applicable part thereof shall be appropriately reflected in the Participant Register. Each party hereto hereby agrees that (a)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(b) no SPC shall be liable for any indemnity or similar payment obligation under this Agreement for which a Lender would be liable, and (c) the Granting Lender shall for all purposes, including the approval of any amendment, waiver or other modification of any provision of any Loan Document, remain the Lender hereunder. The making of a Loan by an SPC hereunder shall utilize the Commitment of the Granting Lender to the same extent, and as if, such Loan were made by such Granting Lender. Notwithstanding anything to the contrary contained herein, any SPC may (a)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(b) disclose on a confidential basis any non-public information relating to its funding of Loans to any rating agency, commercial paper dealer or provider of any surety or Guarantee or credit or liquidity enhancement to such SPC.</w:t>
      </w:r>
    </w:p>
    <w:p>
      <w:pPr>
        <w:spacing w:after="0" w:line="195" w:lineRule="exact"/>
        <w:rPr>
          <w:rFonts w:ascii="Times New Roman" w:cs="Times New Roman" w:eastAsia="Times New Roman" w:hAnsi="Times New Roman"/>
          <w:sz w:val="20"/>
          <w:szCs w:val="20"/>
          <w:color w:val="auto"/>
        </w:rPr>
      </w:pPr>
    </w:p>
    <w:p>
      <w:pPr>
        <w:ind w:left="-8" w:right="20" w:firstLine="1505"/>
        <w:spacing w:after="0" w:line="258" w:lineRule="auto"/>
        <w:tabs>
          <w:tab w:leader="none" w:pos="1885" w:val="left"/>
        </w:tabs>
        <w:numPr>
          <w:ilvl w:val="1"/>
          <w:numId w:val="4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may at any time assign all or a portion of its rights and obligations with respect to Term Loans (but no Revolving Loans or Revolving Commitments), Term Commitments and Revolving Commitments under this Agreement to a Person who is or will become, after such assignment, an Affiliated Lender through (a) Dutch auctions or other offers to purchase or take by assignment open to all applicable Lenders on a pro rata basis in accordance with procedures determined by such Affiliated Lender in its sole discretion or</w:t>
      </w:r>
    </w:p>
    <w:p>
      <w:pPr>
        <w:ind w:left="272" w:hanging="272"/>
        <w:spacing w:after="0"/>
        <w:tabs>
          <w:tab w:leader="none" w:pos="272"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 market purchase on a non-pro rata basis, in each case subject to the following limitations:</w:t>
      </w:r>
    </w:p>
    <w:p>
      <w:pPr>
        <w:spacing w:after="0" w:line="194" w:lineRule="exact"/>
        <w:rPr>
          <w:sz w:val="20"/>
          <w:szCs w:val="20"/>
          <w:color w:val="auto"/>
        </w:rPr>
      </w:pPr>
    </w:p>
    <w:p>
      <w:pPr>
        <w:ind w:left="-8" w:right="60" w:firstLine="1505"/>
        <w:spacing w:after="0" w:line="246" w:lineRule="auto"/>
        <w:tabs>
          <w:tab w:leader="none" w:pos="1885"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Affiliated Lenders will not receive information provided solely to Lenders by the Administrative Agent or any Lender and will not be permitted to attend or participate in conference calls or meetings attended solely by the Lenders and the Administrative Agent, other than the right to receive notices of prepayments and other administrative notices in respect of its Loans or Commitments required to be delivered to Lenders pursuant to Article II and financial statements and reports delivered to Lenders pursuant to Article VI;</w:t>
      </w:r>
    </w:p>
    <w:p>
      <w:pPr>
        <w:spacing w:after="0" w:line="184" w:lineRule="exact"/>
        <w:rPr>
          <w:rFonts w:ascii="Times New Roman" w:cs="Times New Roman" w:eastAsia="Times New Roman" w:hAnsi="Times New Roman"/>
          <w:sz w:val="20"/>
          <w:szCs w:val="20"/>
          <w:color w:val="auto"/>
        </w:rPr>
      </w:pPr>
    </w:p>
    <w:p>
      <w:pPr>
        <w:ind w:left="-8" w:right="200" w:firstLine="1505"/>
        <w:spacing w:after="0" w:line="254" w:lineRule="auto"/>
        <w:tabs>
          <w:tab w:leader="none" w:pos="1885" w:val="left"/>
        </w:tabs>
        <w:numPr>
          <w:ilvl w:val="0"/>
          <w:numId w:val="4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Lender (other than an Affiliated Lender) will waive any potential claims arising from Holdings, the Borrower, the Investor or any Affiliated Lender or Debt Fund Affiliate being in possession of undisclosed information that may be material to such Lender’s decision to participate in such repurchase or assignment (unless such requirement is waived by the Borrower);</w:t>
      </w:r>
    </w:p>
    <w:p>
      <w:pPr>
        <w:spacing w:after="0" w:line="3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358" w:name="page359"/>
    <w:bookmarkEnd w:id="358"/>
    <w:p>
      <w:pPr>
        <w:ind w:right="540" w:firstLine="1505"/>
        <w:spacing w:after="0" w:line="269" w:lineRule="auto"/>
        <w:tabs>
          <w:tab w:leader="none" w:pos="1893" w:val="left"/>
        </w:tabs>
        <w:numPr>
          <w:ilvl w:val="0"/>
          <w:numId w:val="4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Lender (other than any other Affiliated Lender) that assigns any Loans to an Affiliated Lender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shall deliver to the Administrative Agent and the Borrower a customary Big Boy Letter;</w:t>
      </w:r>
    </w:p>
    <w:p>
      <w:pPr>
        <w:spacing w:after="0" w:line="159" w:lineRule="exact"/>
        <w:rPr>
          <w:rFonts w:ascii="Times New Roman" w:cs="Times New Roman" w:eastAsia="Times New Roman" w:hAnsi="Times New Roman"/>
          <w:sz w:val="20"/>
          <w:szCs w:val="20"/>
          <w:u w:val="single" w:color="auto"/>
          <w:color w:val="auto"/>
        </w:rPr>
      </w:pPr>
    </w:p>
    <w:p>
      <w:pPr>
        <w:ind w:right="180" w:firstLine="1505"/>
        <w:spacing w:after="0" w:line="246" w:lineRule="auto"/>
        <w:tabs>
          <w:tab w:leader="none" w:pos="1893" w:val="left"/>
        </w:tabs>
        <w:numPr>
          <w:ilvl w:val="0"/>
          <w:numId w:val="4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aggregate principal amount of Term Loans of any Class under this Agreement held by Affiliated Lenders at the time of any such purchase or assignment shall not exceed 25% of the aggregate principal amount of Term Loans of such Class then outstanding at such time under this Agreement (such percentage, the “</w:t>
      </w:r>
      <w:r>
        <w:rPr>
          <w:rFonts w:ascii="Times New Roman" w:cs="Times New Roman" w:eastAsia="Times New Roman" w:hAnsi="Times New Roman"/>
          <w:sz w:val="20"/>
          <w:szCs w:val="20"/>
          <w:b w:val="1"/>
          <w:bCs w:val="1"/>
          <w:color w:val="auto"/>
        </w:rPr>
        <w:t>Affiliated Lender Cap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any assignment to an Affiliated Lender would result in the aggregate principal amount of all Term Loans of any Class held by Affiliated Lenders exceeding the Affiliated Lender Cap, the assignment of such excess amount will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u w:val="single" w:color="auto"/>
          <w:color w:val="auto"/>
        </w:rPr>
      </w:pPr>
    </w:p>
    <w:p>
      <w:pPr>
        <w:ind w:right="200" w:firstLine="1505"/>
        <w:spacing w:after="0" w:line="246" w:lineRule="auto"/>
        <w:tabs>
          <w:tab w:leader="none" w:pos="1893"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condition to each assignment pursuant to this subsection (8), the Administrative Agent and the Borrower shall have been provided a notice in connection with each assignment to an Affiliated Lender or a Person that upon effectiveness of such assignment would constitute an Affiliated Lender pursuant to which such Affiliated Lender (in its capacity as such) shall waive any right to bring any action in connection with such Loans against the Administrative Agent, in its capacity as such, with respect to the restrictions set forth in this </w:t>
      </w:r>
      <w:r>
        <w:rPr>
          <w:rFonts w:ascii="Times New Roman" w:cs="Times New Roman" w:eastAsia="Times New Roman" w:hAnsi="Times New Roman"/>
          <w:sz w:val="20"/>
          <w:szCs w:val="20"/>
          <w:u w:val="single" w:color="auto"/>
          <w:color w:val="auto"/>
        </w:rPr>
        <w:t>Section 10.07(8)</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ind w:right="40" w:firstLine="1505"/>
        <w:spacing w:after="0" w:line="254" w:lineRule="auto"/>
        <w:tabs>
          <w:tab w:leader="none" w:pos="1893" w:val="left"/>
        </w:tabs>
        <w:numPr>
          <w:ilvl w:val="0"/>
          <w:numId w:val="4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assigning Lender and the Affiliated Lender purchasing such Lender’s Term Loans shall execute and deliver to the Administrative Agent an assignment agreement substantially in the form of </w:t>
      </w:r>
      <w:r>
        <w:rPr>
          <w:rFonts w:ascii="Times New Roman" w:cs="Times New Roman" w:eastAsia="Times New Roman" w:hAnsi="Times New Roman"/>
          <w:sz w:val="20"/>
          <w:szCs w:val="20"/>
          <w:u w:val="single" w:color="auto"/>
          <w:color w:val="auto"/>
        </w:rPr>
        <w:t>Exhibit D-2</w:t>
      </w:r>
      <w:r>
        <w:rPr>
          <w:rFonts w:ascii="Times New Roman" w:cs="Times New Roman" w:eastAsia="Times New Roman" w:hAnsi="Times New Roman"/>
          <w:sz w:val="20"/>
          <w:szCs w:val="20"/>
          <w:color w:val="auto"/>
        </w:rPr>
        <w:t xml:space="preserve"> hereto or any other form approved by the Administrative Agent and the Borrower (an “</w:t>
      </w:r>
      <w:r>
        <w:rPr>
          <w:rFonts w:ascii="Times New Roman" w:cs="Times New Roman" w:eastAsia="Times New Roman" w:hAnsi="Times New Roman"/>
          <w:sz w:val="20"/>
          <w:szCs w:val="20"/>
          <w:b w:val="1"/>
          <w:bCs w:val="1"/>
          <w:color w:val="auto"/>
        </w:rPr>
        <w:t>Affiliated Lender Assignment and Assumption</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any Affiliated Lender that has purchased Term Loans pursuant to this </w:t>
      </w:r>
      <w:r>
        <w:rPr>
          <w:rFonts w:ascii="Times New Roman" w:cs="Times New Roman" w:eastAsia="Times New Roman" w:hAnsi="Times New Roman"/>
          <w:sz w:val="20"/>
          <w:szCs w:val="20"/>
          <w:u w:val="single" w:color="auto"/>
          <w:color w:val="auto"/>
        </w:rPr>
        <w:t>subsection (8)</w:t>
      </w:r>
      <w:r>
        <w:rPr>
          <w:rFonts w:ascii="Times New Roman" w:cs="Times New Roman" w:eastAsia="Times New Roman" w:hAnsi="Times New Roman"/>
          <w:sz w:val="20"/>
          <w:szCs w:val="20"/>
          <w:color w:val="auto"/>
        </w:rPr>
        <w:t xml:space="preserve"> may, in its sole discretion, contribute, directly or indirectly, the principal amount of such Term Loans or any portion thereof, </w:t>
      </w:r>
      <w:r>
        <w:rPr>
          <w:rFonts w:ascii="Times New Roman" w:cs="Times New Roman" w:eastAsia="Times New Roman" w:hAnsi="Times New Roman"/>
          <w:sz w:val="20"/>
          <w:szCs w:val="20"/>
          <w:i w:val="1"/>
          <w:iCs w:val="1"/>
          <w:color w:val="auto"/>
        </w:rPr>
        <w:t xml:space="preserve">plus </w:t>
      </w:r>
      <w:r>
        <w:rPr>
          <w:rFonts w:ascii="Times New Roman" w:cs="Times New Roman" w:eastAsia="Times New Roman" w:hAnsi="Times New Roman"/>
          <w:sz w:val="20"/>
          <w:szCs w:val="20"/>
          <w:color w:val="auto"/>
        </w:rPr>
        <w:t>all accrued and unpaid interest thereon, to the Borrower for the purpose of cancelling and extinguishing such Term Loans. Upon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of such contribution, assignment or transfer, (x) the aggregate outstanding principal amount of Term Loans shall reflect such cancellation and extinguishing of the Term Loans then held by the Borrower and (y) the Borrower shall promptly provide notice to the Administrative Agent of such contribution of such Term Loans, and the Administrative Agent, upon receipt of such notice, shall reflect the cancellation of the applicable Term Loans in the Register.</w:t>
      </w:r>
    </w:p>
    <w:p>
      <w:pPr>
        <w:spacing w:after="0" w:line="186" w:lineRule="exact"/>
        <w:rPr>
          <w:sz w:val="20"/>
          <w:szCs w:val="20"/>
          <w:color w:val="auto"/>
        </w:rPr>
      </w:pPr>
    </w:p>
    <w:p>
      <w:pPr>
        <w:ind w:right="60" w:firstLine="396"/>
        <w:spacing w:after="0" w:line="246" w:lineRule="auto"/>
        <w:rPr>
          <w:sz w:val="20"/>
          <w:szCs w:val="20"/>
          <w:color w:val="auto"/>
        </w:rPr>
      </w:pPr>
      <w:r>
        <w:rPr>
          <w:rFonts w:ascii="Times New Roman" w:cs="Times New Roman" w:eastAsia="Times New Roman" w:hAnsi="Times New Roman"/>
          <w:sz w:val="20"/>
          <w:szCs w:val="20"/>
          <w:color w:val="auto"/>
        </w:rPr>
        <w:t xml:space="preserve">Each Affiliated Lender agrees to notify the Administrative Agent and the Borrower promptly (and in any event within ten (10) Business Days) if it acquires any Person who is also a Lender, and each Lender agrees to notify the Administrative Agent and the Borrower promptly (and in any event within ten (10) Business Days) if it becomes an Affiliated Lender. The Administrative Agent may conclusively rely upon any notice delivered pursuant to the immediately preceding sentence or pursuant to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subsection (8)</w:t>
      </w:r>
      <w:r>
        <w:rPr>
          <w:rFonts w:ascii="Times New Roman" w:cs="Times New Roman" w:eastAsia="Times New Roman" w:hAnsi="Times New Roman"/>
          <w:sz w:val="20"/>
          <w:szCs w:val="20"/>
          <w:color w:val="auto"/>
        </w:rPr>
        <w:t xml:space="preserve"> and shall not have any liability for any losses suffered by any Person as a result of any purported assignment to or from an Affiliated Lender.</w:t>
      </w:r>
    </w:p>
    <w:p>
      <w:pPr>
        <w:spacing w:after="0" w:line="185" w:lineRule="exact"/>
        <w:rPr>
          <w:sz w:val="20"/>
          <w:szCs w:val="20"/>
          <w:color w:val="auto"/>
        </w:rPr>
      </w:pPr>
    </w:p>
    <w:p>
      <w:pPr>
        <w:ind w:firstLine="1505"/>
        <w:spacing w:after="0" w:line="244" w:lineRule="auto"/>
        <w:tabs>
          <w:tab w:leader="none" w:pos="1893"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the definition of “Required Lenders,” or “Required Facility Lenders” to the contrary, for purposes of determining whether the Required Lenders and Required Facility Lenders (in respect of a Class of Term Loans) have (a) consented (or not consented) to any amendment, modification, waiver, consent or other action with respect to any of the terms of any Loan Document or any departure by any Loan Party therefrom, or subject to </w:t>
      </w:r>
      <w:r>
        <w:rPr>
          <w:rFonts w:ascii="Times New Roman" w:cs="Times New Roman" w:eastAsia="Times New Roman" w:hAnsi="Times New Roman"/>
          <w:sz w:val="20"/>
          <w:szCs w:val="20"/>
          <w:u w:val="single" w:color="auto"/>
          <w:color w:val="auto"/>
        </w:rPr>
        <w:t>Section 10.07(10),</w:t>
      </w:r>
      <w:r>
        <w:rPr>
          <w:rFonts w:ascii="Times New Roman" w:cs="Times New Roman" w:eastAsia="Times New Roman" w:hAnsi="Times New Roman"/>
          <w:sz w:val="20"/>
          <w:szCs w:val="20"/>
          <w:color w:val="auto"/>
        </w:rPr>
        <w:t xml:space="preserve"> any plan of reorganization pursuant to the U.S. Bankruptcy Code, (b) otherwise acted on any matter related to any Loan Document or (c) directed or required the Administrative Agent or any Lender to undertake any action (or refrain from taking any action) with respect to or under any Loan Document, no Affiliated Lender shall have any right to consent (or not consent), otherwise act or direct or require the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9" w:name="page360"/>
    <w:bookmarkEnd w:id="359"/>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Administrative Agent or any Lender to take (or refrain from taking) any such action and, except with respect to any amendment, modification, waiver, consent or other action (x)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requiring the consent of all Lenders, all Lenders directly and adversely affected or specifically such Lender, (y) that alters an Affiliated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any payments given to all Lenders or (z) affects the Affiliated Lender (in its capacity as a Lender) in a manner that is disproportionate to the effect on any Lender in the same Class, the Loans held by an Affiliated Lender shall be disregarded in both the numerator and denominator in the calculation of any Lender vote (and shall be deemed to have been voted in the same percentage as all other applicable Lenders voted if necessary to give legal effect to this paragraph) (but, in any event, in connection with any amendment, modification, waiver, consent or other action, shall be entitled to any consent fee, calculated as if all of such Affiliated Lender’s Loans had voted in favor of any matter for which a consent fee or similar payment is offered).</w:t>
      </w:r>
    </w:p>
    <w:p>
      <w:pPr>
        <w:spacing w:after="0" w:line="186" w:lineRule="exact"/>
        <w:rPr>
          <w:sz w:val="20"/>
          <w:szCs w:val="20"/>
          <w:color w:val="auto"/>
        </w:rPr>
      </w:pPr>
    </w:p>
    <w:p>
      <w:pPr>
        <w:ind w:firstLine="1505"/>
        <w:spacing w:after="0" w:line="241" w:lineRule="auto"/>
        <w:tabs>
          <w:tab w:leader="none" w:pos="1893" w:val="left"/>
        </w:tabs>
        <w:numPr>
          <w:ilvl w:val="1"/>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or the other Loan Documents to the contrary, each Affiliated Lender hereby agrees that, and each Affiliated Lender Assignment and Assumption shall provide a confirmation that, if a proceeding under any Debtor Relief Law shall be commenced by or against the Borrower or any other Loan Party at a time when such Lender is an Affiliated Lender, such Affiliated Lender irrevocably authorizes and empowers the Administrative Agent to vote on behalf of such Affiliated Lender with respect to the Term Loans held by such Affiliated Lender in any manner in the Administrative Agent’s sole discretion, unless the Administrative Agent instructs such Affiliated Lender to vote, in which case such Affiliated Lender shall vote with respect to the Term Loans held by it as the Administrative Agent directs and, in furtherance of the foregoing, any such Affiliate Lender hereby grants to the Administrative Agent a power of attorney and proxy (each being irrevocable and coupled with an interest), giving the Administrative Agent the right to vote each Affiliated Lender’s claims on all matters submitted to the Lenders for consent in respect of such proceeding under any Debtor Relief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disproportionately adverse manner than the proposed treatment of similar Obligations held by Term Lenders that are not Affiliated Lenders.</w:t>
      </w:r>
    </w:p>
    <w:p>
      <w:pPr>
        <w:spacing w:after="0" w:line="197" w:lineRule="exact"/>
        <w:rPr>
          <w:rFonts w:ascii="Times New Roman" w:cs="Times New Roman" w:eastAsia="Times New Roman" w:hAnsi="Times New Roman"/>
          <w:sz w:val="20"/>
          <w:szCs w:val="20"/>
          <w:color w:val="auto"/>
        </w:rPr>
      </w:pPr>
    </w:p>
    <w:p>
      <w:pPr>
        <w:ind w:right="40" w:firstLine="1505"/>
        <w:spacing w:after="0" w:line="258" w:lineRule="auto"/>
        <w:tabs>
          <w:tab w:leader="none" w:pos="1893" w:val="left"/>
        </w:tabs>
        <w:numPr>
          <w:ilvl w:val="1"/>
          <w:numId w:val="4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Although any Debt Fund Affiliate(s) shall be Eligible Assignees and shall not be subject to the provisions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10.07(8)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(10)</w:t>
      </w:r>
      <w:r>
        <w:rPr>
          <w:rFonts w:ascii="Times New Roman" w:cs="Times New Roman" w:eastAsia="Times New Roman" w:hAnsi="Times New Roman"/>
          <w:sz w:val="19"/>
          <w:szCs w:val="19"/>
          <w:color w:val="auto"/>
        </w:rPr>
        <w:t xml:space="preserve">, any Lender may, at any time, assign all or a portion of its rights and obligations with respect to Term Loans under this Agreement to a Person who is or will become, after such assignment, a Debt Fund Affiliate through (a) Dutch auctions or other offers to purchase or take by assignment open to all Lenders on a pro rata basis in accordance with procedures of the type described in </w:t>
      </w:r>
      <w:r>
        <w:rPr>
          <w:rFonts w:ascii="Times New Roman" w:cs="Times New Roman" w:eastAsia="Times New Roman" w:hAnsi="Times New Roman"/>
          <w:sz w:val="19"/>
          <w:szCs w:val="19"/>
          <w:u w:val="single" w:color="auto"/>
          <w:color w:val="auto"/>
        </w:rPr>
        <w:t>Section 2.05(1)</w:t>
      </w:r>
    </w:p>
    <w:p>
      <w:pPr>
        <w:ind w:firstLine="8"/>
        <w:spacing w:after="0"/>
        <w:tabs>
          <w:tab w:leader="none" w:pos="269" w:val="left"/>
        </w:tabs>
        <w:numPr>
          <w:ilvl w:val="0"/>
          <w:numId w:val="4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(for the avoidance of doubt, without requiring any representation as to the possession of material non-public information by such Affiliate) or (b) open market purchase on a non-pro rata basis. Notwithstanding anything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all Term Loans, Revolving Commitments and Revolving Loans held by Debt Fund Affiliates, in the aggregate, may not account for more than 49.9% of the Term Loans, Revolving Commitments and Revolving Loans of Lenders included in determining whether the Required Lenders have consented to any action pursuant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u w:val="single" w:color="auto"/>
          <w:color w:val="auto"/>
        </w:rPr>
      </w:pPr>
    </w:p>
    <w:p>
      <w:pPr>
        <w:ind w:firstLine="1505"/>
        <w:spacing w:after="0" w:line="254" w:lineRule="auto"/>
        <w:tabs>
          <w:tab w:leader="none" w:pos="1893" w:val="left"/>
        </w:tabs>
        <w:numPr>
          <w:ilvl w:val="1"/>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so long as no Event of Default has occurred and is continuing, at any time, assign all or a portion of its rights and obligations with respect to Term Loans under this Agreement to Holdings, the Borrower or any Subsidiary through (a) Dutch auctions or other offers to</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0" w:name="page361"/>
    <w:bookmarkEnd w:id="360"/>
    <w:p>
      <w:pPr>
        <w:ind w:right="80"/>
        <w:spacing w:after="0" w:line="269" w:lineRule="auto"/>
        <w:rPr>
          <w:sz w:val="20"/>
          <w:szCs w:val="20"/>
          <w:color w:val="auto"/>
        </w:rPr>
      </w:pPr>
      <w:r>
        <w:rPr>
          <w:rFonts w:ascii="Times New Roman" w:cs="Times New Roman" w:eastAsia="Times New Roman" w:hAnsi="Times New Roman"/>
          <w:sz w:val="20"/>
          <w:szCs w:val="20"/>
          <w:color w:val="auto"/>
        </w:rPr>
        <w:t xml:space="preserve">purchase open to all Lenders on a pro rata basis in accordance with procedures of the type described in </w:t>
      </w:r>
      <w:r>
        <w:rPr>
          <w:rFonts w:ascii="Times New Roman" w:cs="Times New Roman" w:eastAsia="Times New Roman" w:hAnsi="Times New Roman"/>
          <w:sz w:val="20"/>
          <w:szCs w:val="20"/>
          <w:u w:val="single" w:color="auto"/>
          <w:color w:val="auto"/>
        </w:rPr>
        <w:t>Section 2.05(1)(e)</w:t>
      </w:r>
      <w:r>
        <w:rPr>
          <w:rFonts w:ascii="Times New Roman" w:cs="Times New Roman" w:eastAsia="Times New Roman" w:hAnsi="Times New Roman"/>
          <w:sz w:val="20"/>
          <w:szCs w:val="20"/>
          <w:color w:val="auto"/>
        </w:rPr>
        <w:t xml:space="preserve"> or (b) open market purchases on a non-pro rata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59" w:lineRule="exact"/>
        <w:rPr>
          <w:sz w:val="20"/>
          <w:szCs w:val="20"/>
          <w:color w:val="auto"/>
        </w:rPr>
      </w:pPr>
    </w:p>
    <w:p>
      <w:pPr>
        <w:ind w:right="4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(i)(I) if the assignee is Holdings or a Subsidiary of the Borrower, upon such assignment, transfer or contribution, the applicable assignee shall automatically be deemed to have contributed or transferred the principal amount of such Term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all accrued and unpaid interest thereon, to the Borrower; or (II) if the assignee is the Borrower (including through contribution or transfers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(A) the principal amount of such Term Loans, along with all accrued and unpaid interest thereon, so contributed, assigned or transferred to the Borrower shall be deemed automatically cancelled and extinguished on the date of such contribution, assignment or transfer, (B) the aggregate outstanding principal amount of Term Loans of the remaining Lenders shall reflect such cancellation and extinguishing of the Term Loans then held by the Borrower and (C) the Borrower shall promptly provide notice to the Administrative Agent of such contribution, assignment or transfer of such Term Loans, and the Administrative Agent, upon receipt of such notice, shall reflect the cancellation of the applicable Term Loans in the Register;</w:t>
      </w:r>
    </w:p>
    <w:p>
      <w:pPr>
        <w:spacing w:after="0" w:line="186" w:lineRule="exact"/>
        <w:rPr>
          <w:sz w:val="20"/>
          <w:szCs w:val="20"/>
          <w:color w:val="auto"/>
        </w:rPr>
      </w:pPr>
    </w:p>
    <w:p>
      <w:pPr>
        <w:ind w:right="420" w:firstLine="1505"/>
        <w:spacing w:after="0" w:line="269" w:lineRule="auto"/>
        <w:tabs>
          <w:tab w:leader="none" w:pos="1789"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(other than an Affiliated Lender) that assigns any Loans to Holdings, the Borrower or any Subsidiary pursuant </w:t>
      </w:r>
      <w:r>
        <w:rPr>
          <w:rFonts w:ascii="Times New Roman" w:cs="Times New Roman" w:eastAsia="Times New Roman" w:hAnsi="Times New Roman"/>
          <w:sz w:val="20"/>
          <w:szCs w:val="20"/>
          <w:u w:val="single" w:color="auto"/>
          <w:color w:val="auto"/>
        </w:rPr>
        <w:t>to clause (b)</w:t>
      </w:r>
      <w:r>
        <w:rPr>
          <w:rFonts w:ascii="Times New Roman" w:cs="Times New Roman" w:eastAsia="Times New Roman" w:hAnsi="Times New Roman"/>
          <w:sz w:val="20"/>
          <w:szCs w:val="20"/>
          <w:color w:val="auto"/>
        </w:rPr>
        <w:t xml:space="preserve"> above shall deliver to the Administrative Agent and the Borrower a customary Big Boy Letter; and</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xml:space="preserve">(iv) purchases of Term Loans pursuant to this </w:t>
      </w:r>
      <w:r>
        <w:rPr>
          <w:rFonts w:ascii="Times New Roman" w:cs="Times New Roman" w:eastAsia="Times New Roman" w:hAnsi="Times New Roman"/>
          <w:sz w:val="20"/>
          <w:szCs w:val="20"/>
          <w:u w:val="single" w:color="auto"/>
          <w:color w:val="auto"/>
        </w:rPr>
        <w:t>subsection (12)</w:t>
      </w:r>
      <w:r>
        <w:rPr>
          <w:rFonts w:ascii="Times New Roman" w:cs="Times New Roman" w:eastAsia="Times New Roman" w:hAnsi="Times New Roman"/>
          <w:sz w:val="20"/>
          <w:szCs w:val="20"/>
          <w:color w:val="auto"/>
        </w:rPr>
        <w:t xml:space="preserve"> may not be funded with the proceeds of Revolving Loans.</w:t>
      </w:r>
    </w:p>
    <w:p>
      <w:pPr>
        <w:spacing w:after="0" w:line="216" w:lineRule="exact"/>
        <w:rPr>
          <w:sz w:val="20"/>
          <w:szCs w:val="20"/>
          <w:color w:val="auto"/>
        </w:rPr>
      </w:pPr>
    </w:p>
    <w:p>
      <w:pPr>
        <w:ind w:firstLine="1505"/>
        <w:spacing w:after="0" w:line="256" w:lineRule="auto"/>
        <w:tabs>
          <w:tab w:leader="none" w:pos="1893" w:val="left"/>
        </w:tabs>
        <w:numPr>
          <w:ilvl w:val="0"/>
          <w:numId w:val="4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contained herein, without the consent of the Borrower or the Administrative Agent, (a) any Lender may in accordance with applicable Law create a security interest in all or any portion of the Loans owing to it and the Note, if any, held by it and (b)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unless and until such trustee actually becomes a Lender in compliance with the other provisions of this </w:t>
      </w:r>
      <w:r>
        <w:rPr>
          <w:rFonts w:ascii="Times New Roman" w:cs="Times New Roman" w:eastAsia="Times New Roman" w:hAnsi="Times New Roman"/>
          <w:sz w:val="19"/>
          <w:szCs w:val="19"/>
          <w:u w:val="single" w:color="auto"/>
          <w:color w:val="auto"/>
        </w:rPr>
        <w:t>Section</w:t>
      </w:r>
    </w:p>
    <w:p>
      <w:pPr>
        <w:spacing w:after="0" w:line="4" w:lineRule="exact"/>
        <w:rPr>
          <w:rFonts w:ascii="Times New Roman" w:cs="Times New Roman" w:eastAsia="Times New Roman" w:hAnsi="Times New Roman"/>
          <w:sz w:val="19"/>
          <w:szCs w:val="19"/>
          <w:color w:val="auto"/>
        </w:rPr>
      </w:pPr>
    </w:p>
    <w:p>
      <w:pPr>
        <w:ind w:right="6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10.07</w:t>
      </w:r>
      <w:r>
        <w:rPr>
          <w:rFonts w:ascii="Times New Roman" w:cs="Times New Roman" w:eastAsia="Times New Roman" w:hAnsi="Times New Roman"/>
          <w:sz w:val="20"/>
          <w:szCs w:val="20"/>
          <w:color w:val="auto"/>
        </w:rPr>
        <w:t xml:space="preserve">,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 Lender may create a security interest in all or any portion of the Loans owing to it or the Note, if any, held by it, in favor of a Disqualified Institution.</w:t>
      </w:r>
    </w:p>
    <w:p>
      <w:pPr>
        <w:spacing w:after="0" w:line="188" w:lineRule="exact"/>
        <w:rPr>
          <w:rFonts w:ascii="Times New Roman" w:cs="Times New Roman" w:eastAsia="Times New Roman" w:hAnsi="Times New Roman"/>
          <w:sz w:val="19"/>
          <w:szCs w:val="19"/>
          <w:color w:val="auto"/>
        </w:rPr>
      </w:pPr>
    </w:p>
    <w:p>
      <w:pPr>
        <w:ind w:right="280" w:firstLine="1505"/>
        <w:spacing w:after="0" w:line="258" w:lineRule="auto"/>
        <w:tabs>
          <w:tab w:leader="none" w:pos="1893" w:val="left"/>
        </w:tabs>
        <w:numPr>
          <w:ilvl w:val="0"/>
          <w:numId w:val="4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(a) be obligated to ascertain, monitor or inquire as to whether any Lender or Participant or prospective Lender or Participant is a Disqualified Institution or Net Short Lender or (b) have any liability with respect to or arising out of</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any assignment or participation of Loans or Commitments, or disclosure of confidential information, to any Disqualified‎ Institution.</w:t>
      </w:r>
    </w:p>
    <w:p>
      <w:pPr>
        <w:spacing w:after="0" w:line="194" w:lineRule="exact"/>
        <w:rPr>
          <w:sz w:val="20"/>
          <w:szCs w:val="20"/>
          <w:color w:val="auto"/>
        </w:rPr>
      </w:pPr>
    </w:p>
    <w:p>
      <w:pPr>
        <w:ind w:right="260" w:firstLine="1497"/>
        <w:spacing w:after="0" w:line="236" w:lineRule="exact"/>
        <w:rPr>
          <w:sz w:val="20"/>
          <w:szCs w:val="20"/>
          <w:color w:val="auto"/>
        </w:rPr>
      </w:pPr>
      <w:r>
        <w:rPr>
          <w:rFonts w:ascii="Times New Roman" w:cs="Times New Roman" w:eastAsia="Times New Roman" w:hAnsi="Times New Roman"/>
          <w:sz w:val="20"/>
          <w:szCs w:val="20"/>
          <w:color w:val="auto"/>
        </w:rPr>
        <w:t>SECTION 10.08 Resignation of Issuing Bank and Swing Line Lender. Notwithstanding anything to the contrary contained herein, any Issuing Bank or Swing Line Lender may, upon thirty (30) Business Days’ notice to the Borrower and the Lenders, resign as an Issuing Bank or Swing Line Lender, respectively, so long as on or prior to the expiration of such 30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Business Day period with respect to such resignation, the relevant Issuing Bank or Swing Line Lender shall have identified a successor Issuing Bank or Swing Line Lender reasonably acceptable to the Borrower willing to accept its appointment as successor Issuing Bank or Swing Line Lender, as applicable. In the event of any such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1" w:name="page362"/>
    <w:bookmarkEnd w:id="361"/>
    <w:p>
      <w:pPr>
        <w:spacing w:after="0" w:line="243" w:lineRule="auto"/>
        <w:rPr>
          <w:sz w:val="20"/>
          <w:szCs w:val="20"/>
          <w:color w:val="auto"/>
        </w:rPr>
      </w:pPr>
      <w:r>
        <w:rPr>
          <w:rFonts w:ascii="Times New Roman" w:cs="Times New Roman" w:eastAsia="Times New Roman" w:hAnsi="Times New Roman"/>
          <w:sz w:val="20"/>
          <w:szCs w:val="20"/>
          <w:color w:val="auto"/>
        </w:rPr>
        <w:t xml:space="preserve">resignation of an Issuing Bank or Swing Line Lender, the Borrower shall be entitled to appoint from among the Lenders willing to accept such appointment a successor Issuing Bank or Swing Line Lender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failure by the Borrower to appoint any such successor shall affect the resignation of the relevant Issuing Bank or Swing Line Lender, as the case may be, except as expressly provided above. If an Issuing Bank resigns as an Issuing Bank, it shall retain all the rights and obligations of an Issuing Bank hereunder with respect to all Letters of Credit outstanding as of the effective date of its resignation as an Issuing Bank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2.03(3)</w:t>
      </w:r>
      <w:r>
        <w:rPr>
          <w:rFonts w:ascii="Times New Roman" w:cs="Times New Roman" w:eastAsia="Times New Roman" w:hAnsi="Times New Roman"/>
          <w:sz w:val="20"/>
          <w:szCs w:val="20"/>
          <w:color w:val="auto"/>
        </w:rPr>
        <w:t xml:space="preserve">). If the Swing Line Lender resigns as Swing Line Lender, it shall retain all the rights of the Swing Line Lender provided for hereunder with respect to Swing Line Loans made by it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2.04(3)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right="20" w:firstLine="1497"/>
        <w:spacing w:after="0" w:line="253" w:lineRule="auto"/>
        <w:rPr>
          <w:sz w:val="20"/>
          <w:szCs w:val="20"/>
          <w:color w:val="auto"/>
        </w:rPr>
      </w:pPr>
      <w:r>
        <w:rPr>
          <w:rFonts w:ascii="Times New Roman" w:cs="Times New Roman" w:eastAsia="Times New Roman" w:hAnsi="Times New Roman"/>
          <w:sz w:val="19"/>
          <w:szCs w:val="19"/>
          <w:color w:val="auto"/>
        </w:rPr>
        <w:t xml:space="preserve">SECTION 10.09 Confidentiality. Each of the Agents, the Arrangers, the Lenders and each Issuing Bank agrees to maintain the confidentiality of the Information in accordance with its customary procedures (as set forth below), except that Information may be disclosed (a) to its Affiliates and to its and its Affiliates’ respective partners, directors, officers, employees, legal counsel, independent auditors, agents, trustees, managers, controlling Persons, advisors and representatives who need to know such information (it being understood that the Persons to whom such disclosure is made will be informed of the confidential nature of such Information and instructed to keep such Information confidential, with such Affiliate being responsible for such Person’s compliance with this </w:t>
      </w:r>
      <w:r>
        <w:rPr>
          <w:rFonts w:ascii="Times New Roman" w:cs="Times New Roman" w:eastAsia="Times New Roman" w:hAnsi="Times New Roman"/>
          <w:sz w:val="19"/>
          <w:szCs w:val="19"/>
          <w:u w:val="single" w:color="auto"/>
          <w:color w:val="auto"/>
        </w:rPr>
        <w:t>Section 10.09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Agent, such Arranger, such Lender or such Issuing Bank, as applicable, shall be principally liable to the extent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10.09</w:t>
      </w:r>
      <w:r>
        <w:rPr>
          <w:rFonts w:ascii="Times New Roman" w:cs="Times New Roman" w:eastAsia="Times New Roman" w:hAnsi="Times New Roman"/>
          <w:sz w:val="19"/>
          <w:szCs w:val="19"/>
          <w:color w:val="auto"/>
        </w:rPr>
        <w:t xml:space="preserve"> is violated by one or more of its Affiliates or any of its or their respective partners, directors, officers, employees, legal counsel, independent auditors, agents, trustees, managers, controlling Persons, advisors or representatives), (b) to the extent requested by any regulatory authority purporting to have jurisdiction over it (including any self-regulatory authority, such as the National Association of Insurance Commissioners);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each Agent, each Arranger, each Lender and each Issuing Bank agrees to notify the Borrower promptly thereof (except in connection with any request as part of a regulatory examination) to the extent it is legally permitted to do so, (c) to the extent required by applicable laws or regulations or by any subpoena or otherwise (including by order) as required by applicable Law or regulation or as requested by a governmental authority;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Agent, such Arranger, such Lender or such Issuing Bank, as applicable, agrees that it will notify the Borrower as soon as practicable in the event of any such disclosure by such Person (except in connection with any request as part of a regulatory examination) unless such notification is prohibited by law, rule or regulation,</w:t>
      </w:r>
    </w:p>
    <w:p>
      <w:pPr>
        <w:spacing w:after="0" w:line="9" w:lineRule="exact"/>
        <w:rPr>
          <w:sz w:val="20"/>
          <w:szCs w:val="20"/>
          <w:color w:val="auto"/>
        </w:rPr>
      </w:pPr>
    </w:p>
    <w:p>
      <w:pPr>
        <w:ind w:right="100" w:firstLine="8"/>
        <w:spacing w:after="0"/>
        <w:tabs>
          <w:tab w:leader="none" w:pos="280"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any Lenders or participants or prospective Lenders or Participants or derivative counterparties or prospective derivative counterparties (including with respect to any swap or other derivatives transaction) (in each case, other than Disqualified Institution);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disclosure shall be made subject to the acknowledgment and acceptance by such prospective Lender, Participant or Eligible Assignee that such Information is being disseminated on a confidential basis (on substantially the terms set forth in this paragraph or as is otherwise reasonably acceptable to the Borrower, the Agents and the Arrangers), (e) for purposes of establishing a “due diligence” defense, (f) on a confidential basis to service providers to the Agents and the Lenders in connection with the administration, settlement and management of this Agreement and the credit facilities provided hereunder, (g) with the consent of the Borrower, (h) to rating agencies and to market data collectors for customary purposes in the lending industry in connection with the Facilities, (i) to enforce their respective rights hereunder or under any other Loan Document or (j) to the extent such Information (I) becomes publicly available other than as a result of a breach by any Person of this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or any other confidentiality provision in favor of any Loan Party, (II) becomes available to any Agent, any Arranger, any Lender, any Issuing Bank or any of their respective Affiliates on a non-confidential basis from a source other than Holdings, the Borrower or any Subsidiary thereof, and which source is not known by such Agent, such Lender, such Issuing Bank or the applicable Affiliate to be subject to a confidentiality restriction in respect thereof in favor of</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2" w:name="page363"/>
    <w:bookmarkEnd w:id="362"/>
    <w:p>
      <w:pPr>
        <w:ind w:right="120"/>
        <w:spacing w:after="0" w:line="254" w:lineRule="auto"/>
        <w:rPr>
          <w:sz w:val="20"/>
          <w:szCs w:val="20"/>
          <w:color w:val="auto"/>
        </w:rPr>
      </w:pPr>
      <w:r>
        <w:rPr>
          <w:rFonts w:ascii="Times New Roman" w:cs="Times New Roman" w:eastAsia="Times New Roman" w:hAnsi="Times New Roman"/>
          <w:sz w:val="20"/>
          <w:szCs w:val="20"/>
          <w:color w:val="auto"/>
        </w:rPr>
        <w:t xml:space="preserve">Holdings, the Borrower or any Affiliate thereof or (III) is independently developed by the Agents, the Lenders, the Issuing Banks, the Arrangers or their respective Affiliates, in each case, so long as not based on information obtained in a manner that would otherwise violate this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xml:space="preserve">” means all information received from any Loan Party or any Subsidiary thereof and their respective officers, directors, employees, agents and advisors of such Persons relating to any Loan Party or any Subsidiary or Affiliate thereof or their respective businesses, other than any such information that is available to any Agent, any Lender or any Issuing Bank on a non-confidential basis prior to disclosure by any Loan Party or any Subsidiary thereof; it being understood that no information received from Holdings, the Borrower or any Subsidiary or Affiliate thereof after the date hereof shall be deemed non-confidential on account of such information not being clearly identified at the time of delivery as being confidential. Any Person required to maintain the confidentiality of Information as provided in this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shall be considered to have complied with its obligation to do so in accordance with its customary procedures if such Person has exercised the same degree of care to maintain the confidentiality of such Information as such Person would accord to its own confidential information.</w:t>
      </w:r>
    </w:p>
    <w:p>
      <w:pPr>
        <w:spacing w:after="0" w:line="190" w:lineRule="exact"/>
        <w:rPr>
          <w:sz w:val="20"/>
          <w:szCs w:val="20"/>
          <w:color w:val="auto"/>
        </w:rPr>
      </w:pPr>
    </w:p>
    <w:p>
      <w:pPr>
        <w:jc w:val="both"/>
        <w:ind w:right="80" w:firstLine="1497"/>
        <w:spacing w:after="0" w:line="264" w:lineRule="auto"/>
        <w:rPr>
          <w:sz w:val="20"/>
          <w:szCs w:val="20"/>
          <w:color w:val="auto"/>
        </w:rPr>
      </w:pPr>
      <w:r>
        <w:rPr>
          <w:rFonts w:ascii="Times New Roman" w:cs="Times New Roman" w:eastAsia="Times New Roman" w:hAnsi="Times New Roman"/>
          <w:sz w:val="19"/>
          <w:szCs w:val="19"/>
          <w:color w:val="auto"/>
        </w:rPr>
        <w:t>Each Agent, each Arranger, each Lender and each Issuing Bank acknowledges that (a) the Information may include trade secrets, protected confidential information, or material non-public information concerning the Borrower or a Subsidiary, as the case may be,</w:t>
      </w:r>
    </w:p>
    <w:p>
      <w:pPr>
        <w:ind w:right="60" w:firstLine="8"/>
        <w:spacing w:after="0" w:line="246" w:lineRule="auto"/>
        <w:tabs>
          <w:tab w:leader="none" w:pos="280" w:val="left"/>
        </w:tabs>
        <w:numPr>
          <w:ilvl w:val="0"/>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developed compliance procedures regarding the use of such information and (c) it will handle such information in accordance with applicable Law, including United States Federal and state securities Laws and to preserve its trade secret or confidential character.</w:t>
      </w:r>
    </w:p>
    <w:p>
      <w:pPr>
        <w:spacing w:after="0" w:line="182" w:lineRule="exact"/>
        <w:rPr>
          <w:sz w:val="20"/>
          <w:szCs w:val="20"/>
          <w:color w:val="auto"/>
        </w:rPr>
      </w:pPr>
    </w:p>
    <w:p>
      <w:pPr>
        <w:ind w:right="20" w:firstLine="1497"/>
        <w:spacing w:after="0" w:line="249" w:lineRule="auto"/>
        <w:rPr>
          <w:sz w:val="20"/>
          <w:szCs w:val="20"/>
          <w:color w:val="auto"/>
        </w:rPr>
      </w:pPr>
      <w:r>
        <w:rPr>
          <w:rFonts w:ascii="Times New Roman" w:cs="Times New Roman" w:eastAsia="Times New Roman" w:hAnsi="Times New Roman"/>
          <w:sz w:val="20"/>
          <w:szCs w:val="20"/>
          <w:color w:val="auto"/>
        </w:rPr>
        <w:t xml:space="preserve">The respective obligations of the Agents, the Arrangers, the Lenders and any Issuing Bank under this </w:t>
      </w:r>
      <w:r>
        <w:rPr>
          <w:rFonts w:ascii="Times New Roman" w:cs="Times New Roman" w:eastAsia="Times New Roman" w:hAnsi="Times New Roman"/>
          <w:sz w:val="20"/>
          <w:szCs w:val="20"/>
          <w:u w:val="single" w:color="auto"/>
          <w:color w:val="auto"/>
        </w:rPr>
        <w:t>Section 10.09</w:t>
      </w:r>
      <w:r>
        <w:rPr>
          <w:rFonts w:ascii="Times New Roman" w:cs="Times New Roman" w:eastAsia="Times New Roman" w:hAnsi="Times New Roman"/>
          <w:sz w:val="20"/>
          <w:szCs w:val="20"/>
          <w:color w:val="auto"/>
        </w:rPr>
        <w:t xml:space="preserve"> shall survive, to the extent applicable to such Person, (x) the payment in full of the Obligations and the termination of this Agreement, (y) any assignment of its rights and obligations under this Agreement and (z) the resignation or removal of any Agent, Swing Line Lender or Issuing Bank.</w:t>
      </w:r>
    </w:p>
    <w:p>
      <w:pPr>
        <w:spacing w:after="0" w:line="180" w:lineRule="exact"/>
        <w:rPr>
          <w:sz w:val="20"/>
          <w:szCs w:val="20"/>
          <w:color w:val="auto"/>
        </w:rPr>
      </w:pPr>
    </w:p>
    <w:p>
      <w:pPr>
        <w:ind w:firstLine="1497"/>
        <w:spacing w:after="0" w:line="254" w:lineRule="auto"/>
        <w:rPr>
          <w:sz w:val="20"/>
          <w:szCs w:val="20"/>
          <w:color w:val="auto"/>
        </w:rPr>
      </w:pPr>
      <w:r>
        <w:rPr>
          <w:rFonts w:ascii="Times New Roman" w:cs="Times New Roman" w:eastAsia="Times New Roman" w:hAnsi="Times New Roman"/>
          <w:sz w:val="19"/>
          <w:szCs w:val="19"/>
          <w:color w:val="auto"/>
        </w:rPr>
        <w:t xml:space="preserve">SECTION 10.10 Setoff. If an Event of Default shall have occurred and be continuing, each Lender and each Issuing Bank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such Issuing Bank to or for the credit or the account of any Loan Party against any and all of the obligations of such Loan Party then due and payable under this Agreement or any other Loan Document to such Lender or such Issuing Bank, irrespective of whether or not such Lender or such Issuing Bank shall have made any demand under this Agreement or any other Loan Document;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the Administrative Agent, the Issuing Banks and the Lenders and (b) the Defaulting Lender shall provide promptly to the Administrative Agent a statement describing in reasonable detail the Obligations owing to such Defaulting Lender as to which it exercised such right of setoff. The rights of each Lender and each Issuing Bank under this </w:t>
      </w:r>
      <w:r>
        <w:rPr>
          <w:rFonts w:ascii="Times New Roman" w:cs="Times New Roman" w:eastAsia="Times New Roman" w:hAnsi="Times New Roman"/>
          <w:sz w:val="19"/>
          <w:szCs w:val="19"/>
          <w:u w:val="single" w:color="auto"/>
          <w:color w:val="auto"/>
        </w:rPr>
        <w:t>Section</w:t>
      </w:r>
    </w:p>
    <w:p>
      <w:pPr>
        <w:spacing w:after="0" w:line="1" w:lineRule="exact"/>
        <w:rPr>
          <w:sz w:val="20"/>
          <w:szCs w:val="20"/>
          <w:color w:val="auto"/>
        </w:rPr>
      </w:pPr>
    </w:p>
    <w:p>
      <w:pPr>
        <w:jc w:val="both"/>
        <w:ind w:right="240"/>
        <w:spacing w:after="0" w:line="242" w:lineRule="auto"/>
        <w:rPr>
          <w:sz w:val="20"/>
          <w:szCs w:val="20"/>
          <w:color w:val="auto"/>
        </w:rPr>
      </w:pPr>
      <w:r>
        <w:rPr>
          <w:rFonts w:ascii="Times New Roman" w:cs="Times New Roman" w:eastAsia="Times New Roman" w:hAnsi="Times New Roman"/>
          <w:sz w:val="20"/>
          <w:szCs w:val="20"/>
          <w:u w:val="single" w:color="auto"/>
          <w:color w:val="auto"/>
        </w:rPr>
        <w:t>10.10</w:t>
      </w:r>
      <w:r>
        <w:rPr>
          <w:rFonts w:ascii="Times New Roman" w:cs="Times New Roman" w:eastAsia="Times New Roman" w:hAnsi="Times New Roman"/>
          <w:sz w:val="20"/>
          <w:szCs w:val="20"/>
          <w:color w:val="auto"/>
        </w:rPr>
        <w:t xml:space="preserve"> are in addition to other rights and remedies (including other rights of setoff) that such Lender or such Issuing Bank may have. Each Lender and each Issuing Bank agrees to notify the Borrower and the Administrative Agent promptly after any such setoff and application,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failure to give such notice shall not affect the validity of such setoff and application.</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63" w:name="page364"/>
    <w:bookmarkEnd w:id="363"/>
    <w:p>
      <w:pPr>
        <w:ind w:right="40" w:firstLine="1497"/>
        <w:spacing w:after="0" w:line="243" w:lineRule="auto"/>
        <w:rPr>
          <w:sz w:val="20"/>
          <w:szCs w:val="20"/>
          <w:color w:val="auto"/>
        </w:rPr>
      </w:pPr>
      <w:r>
        <w:rPr>
          <w:rFonts w:ascii="Times New Roman" w:cs="Times New Roman" w:eastAsia="Times New Roman" w:hAnsi="Times New Roman"/>
          <w:sz w:val="20"/>
          <w:szCs w:val="20"/>
          <w:color w:val="auto"/>
        </w:rPr>
        <w:t>SECTION 10.11 Interest Rate Limitation.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9" w:lineRule="exact"/>
        <w:rPr>
          <w:sz w:val="20"/>
          <w:szCs w:val="20"/>
          <w:color w:val="auto"/>
        </w:rPr>
      </w:pPr>
    </w:p>
    <w:p>
      <w:pPr>
        <w:ind w:right="60" w:firstLine="1497"/>
        <w:spacing w:after="0" w:line="243" w:lineRule="auto"/>
        <w:rPr>
          <w:sz w:val="20"/>
          <w:szCs w:val="20"/>
          <w:color w:val="auto"/>
        </w:rPr>
      </w:pPr>
      <w:r>
        <w:rPr>
          <w:rFonts w:ascii="Times New Roman" w:cs="Times New Roman" w:eastAsia="Times New Roman" w:hAnsi="Times New Roman"/>
          <w:sz w:val="20"/>
          <w:szCs w:val="20"/>
          <w:color w:val="auto"/>
        </w:rPr>
        <w:t xml:space="preserve">SECTION 10.12 Counterparts; Integration; Effectiveness. This Agreement and each of the other Loan Documents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(including in .pdf format) means shall be effective as delivery of a manually executed counterpart of this Agreement.</w:t>
      </w:r>
    </w:p>
    <w:p>
      <w:pPr>
        <w:spacing w:after="0" w:line="186" w:lineRule="exact"/>
        <w:rPr>
          <w:sz w:val="20"/>
          <w:szCs w:val="20"/>
          <w:color w:val="auto"/>
        </w:rPr>
      </w:pPr>
    </w:p>
    <w:p>
      <w:pPr>
        <w:ind w:right="60" w:firstLine="1497"/>
        <w:spacing w:after="0" w:line="243" w:lineRule="auto"/>
        <w:rPr>
          <w:sz w:val="20"/>
          <w:szCs w:val="20"/>
          <w:color w:val="auto"/>
        </w:rPr>
      </w:pPr>
      <w:r>
        <w:rPr>
          <w:rFonts w:ascii="Times New Roman" w:cs="Times New Roman" w:eastAsia="Times New Roman" w:hAnsi="Times New Roman"/>
          <w:sz w:val="20"/>
          <w:szCs w:val="20"/>
          <w:color w:val="auto"/>
        </w:rPr>
        <w:t>SECTION 10.13 Electronic Execution of Assignments and Certain Other Documents. The words “delivery,” “execution,” “execute,” “signed,” “signature,” and words of like 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6" w:lineRule="exact"/>
        <w:rPr>
          <w:sz w:val="20"/>
          <w:szCs w:val="20"/>
          <w:color w:val="auto"/>
        </w:rPr>
      </w:pPr>
    </w:p>
    <w:p>
      <w:pPr>
        <w:ind w:right="20" w:firstLine="1497"/>
        <w:spacing w:after="0" w:line="260" w:lineRule="auto"/>
        <w:rPr>
          <w:sz w:val="20"/>
          <w:szCs w:val="20"/>
          <w:color w:val="auto"/>
        </w:rPr>
      </w:pPr>
      <w:r>
        <w:rPr>
          <w:rFonts w:ascii="Times New Roman" w:cs="Times New Roman" w:eastAsia="Times New Roman" w:hAnsi="Times New Roman"/>
          <w:sz w:val="19"/>
          <w:szCs w:val="19"/>
          <w:color w:val="auto"/>
        </w:rPr>
        <w:t>SECTION 10.14 Survival of Representations and Warranties.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73" w:lineRule="exact"/>
        <w:rPr>
          <w:sz w:val="20"/>
          <w:szCs w:val="20"/>
          <w:color w:val="auto"/>
        </w:rPr>
      </w:pPr>
    </w:p>
    <w:p>
      <w:pPr>
        <w:ind w:firstLine="1497"/>
        <w:spacing w:after="0" w:line="249" w:lineRule="auto"/>
        <w:rPr>
          <w:sz w:val="20"/>
          <w:szCs w:val="20"/>
          <w:color w:val="auto"/>
        </w:rPr>
      </w:pPr>
      <w:r>
        <w:rPr>
          <w:rFonts w:ascii="Times New Roman" w:cs="Times New Roman" w:eastAsia="Times New Roman" w:hAnsi="Times New Roman"/>
          <w:sz w:val="20"/>
          <w:szCs w:val="20"/>
          <w:color w:val="auto"/>
        </w:rPr>
        <w:t>SECTION 10.15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4" w:name="page365"/>
    <w:bookmarkEnd w:id="364"/>
    <w:p>
      <w:pPr>
        <w:spacing w:after="0" w:line="269" w:lineRule="auto"/>
        <w:rPr>
          <w:sz w:val="20"/>
          <w:szCs w:val="20"/>
          <w:color w:val="auto"/>
        </w:rPr>
      </w:pPr>
      <w:r>
        <w:rPr>
          <w:rFonts w:ascii="Times New Roman" w:cs="Times New Roman" w:eastAsia="Times New Roman" w:hAnsi="Times New Roman"/>
          <w:sz w:val="20"/>
          <w:szCs w:val="20"/>
          <w:color w:val="auto"/>
        </w:rPr>
        <w:t>possible to that of the illegal, invalid or unenforceable provisions. The invalidity of a provision in a particular jurisdiction shall not invalidate or render unenforceable such provision in any other jurisdiction.</w:t>
      </w:r>
    </w:p>
    <w:p>
      <w:pPr>
        <w:spacing w:after="0" w:line="159"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10.16</w:t>
      </w:r>
      <w:r>
        <w:rPr>
          <w:sz w:val="20"/>
          <w:szCs w:val="20"/>
          <w:color w:val="auto"/>
        </w:rPr>
        <w:tab/>
      </w:r>
      <w:r>
        <w:rPr>
          <w:rFonts w:ascii="Times New Roman" w:cs="Times New Roman" w:eastAsia="Times New Roman" w:hAnsi="Times New Roman"/>
          <w:sz w:val="19"/>
          <w:szCs w:val="19"/>
          <w:color w:val="auto"/>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-10795</wp:posOffset>
            </wp:positionV>
            <wp:extent cx="100520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4">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96" w:lineRule="exact"/>
        <w:rPr>
          <w:sz w:val="20"/>
          <w:szCs w:val="20"/>
          <w:color w:val="auto"/>
        </w:rPr>
      </w:pPr>
    </w:p>
    <w:p>
      <w:pPr>
        <w:ind w:right="180" w:firstLine="1505"/>
        <w:spacing w:after="0" w:line="269" w:lineRule="auto"/>
        <w:tabs>
          <w:tab w:leader="none" w:pos="1893"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IN ACCORDANCE WITH, THE LAW OF THE STATE OF NEW YORK.</w:t>
      </w:r>
    </w:p>
    <w:p>
      <w:pPr>
        <w:spacing w:after="0" w:line="159" w:lineRule="exact"/>
        <w:rPr>
          <w:rFonts w:ascii="Times New Roman" w:cs="Times New Roman" w:eastAsia="Times New Roman" w:hAnsi="Times New Roman"/>
          <w:sz w:val="20"/>
          <w:szCs w:val="20"/>
          <w:color w:val="auto"/>
        </w:rPr>
      </w:pPr>
    </w:p>
    <w:p>
      <w:pPr>
        <w:ind w:right="20" w:firstLine="1505"/>
        <w:spacing w:after="0" w:line="241" w:lineRule="auto"/>
        <w:tabs>
          <w:tab w:leader="none" w:pos="1893"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HOLDINGS, THE ADMINISTRATIVE AGENT AND EACH LENDER EACH IRREVOCABLY AND UNCONDITIONALLY SUBMITS, FOR ITSELF AND ITS PROPERTY, TO THE EXCLUSIVE JURISDICTION OF THE COURTS OF THE STATE OF NEW YORK SITTING IN NEW YORK CITY IN THE BOROUGH OF MANHATTAN AND OF THE UNITED STATES DISTRICT COURT OF THE SOUTHERN DISTRICT OF NEW YORK SITTING IN THE BOROUGH OF MANHATTAN,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194" w:lineRule="exact"/>
        <w:rPr>
          <w:rFonts w:ascii="Times New Roman" w:cs="Times New Roman" w:eastAsia="Times New Roman" w:hAnsi="Times New Roman"/>
          <w:sz w:val="20"/>
          <w:szCs w:val="20"/>
          <w:color w:val="auto"/>
        </w:rPr>
      </w:pPr>
    </w:p>
    <w:p>
      <w:pPr>
        <w:ind w:right="100" w:firstLine="1505"/>
        <w:spacing w:after="0" w:line="244" w:lineRule="auto"/>
        <w:tabs>
          <w:tab w:leader="none" w:pos="1893"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HOLDINGS, THE ADMINISTRATIVE AGENT AND EACH LENDER EACH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PARAGRAPH (2)</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10.16</w:t>
      </w:r>
      <w:r>
        <w:rPr>
          <w:rFonts w:ascii="Times New Roman" w:cs="Times New Roman" w:eastAsia="Times New Roman" w:hAnsi="Times New Roman"/>
          <w:sz w:val="20"/>
          <w:szCs w:val="20"/>
          <w:color w:val="auto"/>
        </w:rPr>
        <w:t>. EACH OF THE PARTIES HERETO HEREBY IRREVOCABLY WAIVES, TO THE FULLEST EXTENT PERMITTED BY APPLICABLE LAW, THE DEFENSE OF AN INCONVENIENT FORUM TO THE MAINTENANCE OF SUCH ACTION OR PROCEEDING IN ANY SUCH COURT.</w:t>
      </w:r>
    </w:p>
    <w:p>
      <w:pPr>
        <w:spacing w:after="0" w:line="186" w:lineRule="exact"/>
        <w:rPr>
          <w:sz w:val="20"/>
          <w:szCs w:val="20"/>
          <w:color w:val="auto"/>
        </w:rPr>
      </w:pPr>
    </w:p>
    <w:p>
      <w:pPr>
        <w:ind w:right="60" w:firstLine="1497"/>
        <w:spacing w:after="0" w:line="258" w:lineRule="auto"/>
        <w:rPr>
          <w:sz w:val="20"/>
          <w:szCs w:val="20"/>
          <w:color w:val="auto"/>
        </w:rPr>
      </w:pPr>
      <w:r>
        <w:rPr>
          <w:rFonts w:ascii="Times New Roman" w:cs="Times New Roman" w:eastAsia="Times New Roman" w:hAnsi="Times New Roman"/>
          <w:sz w:val="19"/>
          <w:szCs w:val="19"/>
          <w:color w:val="auto"/>
        </w:rPr>
        <w:t>SECTION 10.17 WAIVER OF RIGHT TO TRIAL BY JURY.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5" w:name="page366"/>
    <w:bookmarkEnd w:id="365"/>
    <w:p>
      <w:pPr>
        <w:ind w:right="380"/>
        <w:spacing w:after="0" w:line="269" w:lineRule="auto"/>
        <w:rPr>
          <w:sz w:val="20"/>
          <w:szCs w:val="20"/>
          <w:color w:val="auto"/>
        </w:rPr>
      </w:pPr>
      <w:r>
        <w:rPr>
          <w:rFonts w:ascii="Times New Roman" w:cs="Times New Roman" w:eastAsia="Times New Roman" w:hAnsi="Times New Roman"/>
          <w:sz w:val="20"/>
          <w:szCs w:val="20"/>
          <w:color w:val="auto"/>
        </w:rPr>
        <w:t xml:space="preserve">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60" w:firstLine="1497"/>
        <w:spacing w:after="0" w:line="249" w:lineRule="auto"/>
        <w:rPr>
          <w:sz w:val="20"/>
          <w:szCs w:val="20"/>
          <w:color w:val="auto"/>
        </w:rPr>
      </w:pPr>
      <w:r>
        <w:rPr>
          <w:rFonts w:ascii="Times New Roman" w:cs="Times New Roman" w:eastAsia="Times New Roman" w:hAnsi="Times New Roman"/>
          <w:sz w:val="20"/>
          <w:szCs w:val="20"/>
          <w:color w:val="auto"/>
        </w:rPr>
        <w:t>SECTION 10.18 Binding Effect. This Agreement shall become effective when it shall have been executed by the Borrower and the Administrative Agent and the Administrative Agent shall have been notified by each Lender that each such Lender has executed it and thereafter shall be binding upon and inure to the benefit of the Borrower, each Agent, each Lender, each other party hereto and their respective successors and assigns.</w:t>
      </w:r>
    </w:p>
    <w:p>
      <w:pPr>
        <w:spacing w:after="0" w:line="180"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SECTION 10.19 Lender Action. Each Lender agrees that it shall not take or institute any actions or proceedings, judicial or otherwise, for any right or remedy against any Loan Party under any of the Loan Documents or the Secured Hedge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 of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are for the sole benefit of the Lenders and shall not afford any right to, or constitute a defense available to, any Loan Party.</w:t>
      </w:r>
    </w:p>
    <w:p>
      <w:pPr>
        <w:spacing w:after="0" w:line="184" w:lineRule="exact"/>
        <w:rPr>
          <w:sz w:val="20"/>
          <w:szCs w:val="20"/>
          <w:color w:val="auto"/>
        </w:rPr>
      </w:pPr>
    </w:p>
    <w:p>
      <w:pPr>
        <w:ind w:right="140" w:firstLine="1497"/>
        <w:spacing w:after="0" w:line="246" w:lineRule="auto"/>
        <w:rPr>
          <w:sz w:val="20"/>
          <w:szCs w:val="20"/>
          <w:color w:val="auto"/>
        </w:rPr>
      </w:pPr>
      <w:r>
        <w:rPr>
          <w:rFonts w:ascii="Times New Roman" w:cs="Times New Roman" w:eastAsia="Times New Roman" w:hAnsi="Times New Roman"/>
          <w:sz w:val="20"/>
          <w:szCs w:val="20"/>
          <w:color w:val="auto"/>
        </w:rPr>
        <w:t xml:space="preserve">SECTION 10.20 Use of Name, Logo, Etc. Each Loan Party consents to the publication in the ordinary course by the Administrative Agent or the Arrangers of customary advertising material relating to the financing transactions contemplated by this Agreement using such Loan Party’s name, product photographs, logo or trademark;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material shall be provided to the Borrower for its review a reasonable period of time in advance of publication. Such consent shall remain effective until revoked by such Loan Party in writing to the Administrative Agent and the Arrangers.</w:t>
      </w:r>
    </w:p>
    <w:p>
      <w:pPr>
        <w:spacing w:after="0" w:line="185" w:lineRule="exact"/>
        <w:rPr>
          <w:sz w:val="20"/>
          <w:szCs w:val="20"/>
          <w:color w:val="auto"/>
        </w:rPr>
      </w:pPr>
    </w:p>
    <w:p>
      <w:pPr>
        <w:ind w:right="80" w:firstLine="1497"/>
        <w:spacing w:after="0" w:line="259" w:lineRule="auto"/>
        <w:rPr>
          <w:sz w:val="20"/>
          <w:szCs w:val="20"/>
          <w:color w:val="auto"/>
        </w:rPr>
      </w:pPr>
      <w:r>
        <w:rPr>
          <w:rFonts w:ascii="Times New Roman" w:cs="Times New Roman" w:eastAsia="Times New Roman" w:hAnsi="Times New Roman"/>
          <w:sz w:val="19"/>
          <w:szCs w:val="19"/>
          <w:color w:val="auto"/>
        </w:rPr>
        <w:t>SECTION 10.21 USA PATRIOT Act.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72" w:lineRule="exact"/>
        <w:rPr>
          <w:sz w:val="20"/>
          <w:szCs w:val="20"/>
          <w:color w:val="auto"/>
        </w:rPr>
      </w:pPr>
    </w:p>
    <w:p>
      <w:pPr>
        <w:jc w:val="both"/>
        <w:ind w:right="340" w:firstLine="1497"/>
        <w:spacing w:after="0" w:line="274" w:lineRule="auto"/>
        <w:rPr>
          <w:sz w:val="20"/>
          <w:szCs w:val="20"/>
          <w:color w:val="auto"/>
        </w:rPr>
      </w:pPr>
      <w:r>
        <w:rPr>
          <w:rFonts w:ascii="Times New Roman" w:cs="Times New Roman" w:eastAsia="Times New Roman" w:hAnsi="Times New Roman"/>
          <w:sz w:val="19"/>
          <w:szCs w:val="19"/>
          <w:color w:val="auto"/>
        </w:rPr>
        <w:t xml:space="preserve">SECTION 10.22 Service of Process. EACH PARTY HERETO IRREVOCABLY CONSENTS TO SERVICE OF PROCESS IN THE MANNER PROVIDED FOR NOTICES IN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NOTHING IN THIS AGREEMENT WILL AFFECT THE RIGHT OF ANY PARTY HERETO TO SERVE PROCESS IN ANY OTHER MANNER PERMITTED BY APPLICABLE LAW.</w:t>
      </w:r>
    </w:p>
    <w:p>
      <w:pPr>
        <w:spacing w:after="0" w:line="156" w:lineRule="exact"/>
        <w:rPr>
          <w:sz w:val="20"/>
          <w:szCs w:val="20"/>
          <w:color w:val="auto"/>
        </w:rPr>
      </w:pPr>
    </w:p>
    <w:p>
      <w:pPr>
        <w:ind w:right="60" w:firstLine="1497"/>
        <w:spacing w:after="0" w:line="243" w:lineRule="auto"/>
        <w:rPr>
          <w:sz w:val="20"/>
          <w:szCs w:val="20"/>
          <w:color w:val="auto"/>
        </w:rPr>
      </w:pPr>
      <w:r>
        <w:rPr>
          <w:rFonts w:ascii="Times New Roman" w:cs="Times New Roman" w:eastAsia="Times New Roman" w:hAnsi="Times New Roman"/>
          <w:sz w:val="20"/>
          <w:szCs w:val="20"/>
          <w:color w:val="auto"/>
        </w:rPr>
        <w:t>SECTION 10.23 No Advisory or Fiduciary Responsibility. In connection with all aspects of each transaction contemplated hereby (including in connection with any amendment, waiver or other modification hereof or of any other Loan Document), each of the Borrower and Holdings acknowledges and agrees that (a) (i) the arranging and other services regarding this Agreement provided by the Agents, the Arrangers and the Lenders are arm’s-length commercial transactions between the Borrower, Holdings and their respective Affiliates, on the one hand, and the Administrative Agent, the Arrangers and the Lenders, on the other hand, (ii) each of the Borrower and Holdings has consulted its own legal, accounting, regulatory and tax advisors to the extent it has deemed appropriate and (iii) each of the Borrower and Holdings is capable of evaluating, and understands and accepts, the terms, risks and conditions of the transactions contemplated hereby and by the other Loan Documents; (b) (i) each Agent,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6" w:name="page367"/>
    <w:bookmarkEnd w:id="366"/>
    <w:p>
      <w:pPr>
        <w:ind w:right="20"/>
        <w:spacing w:after="0" w:line="242" w:lineRule="auto"/>
        <w:rPr>
          <w:sz w:val="20"/>
          <w:szCs w:val="20"/>
          <w:color w:val="auto"/>
        </w:rPr>
      </w:pPr>
      <w:r>
        <w:rPr>
          <w:rFonts w:ascii="Times New Roman" w:cs="Times New Roman" w:eastAsia="Times New Roman" w:hAnsi="Times New Roman"/>
          <w:sz w:val="20"/>
          <w:szCs w:val="20"/>
          <w:color w:val="auto"/>
        </w:rPr>
        <w:t>each Arranger and each Lender is and has been acting solely as a principal and, except as expressly agreed in writing by the relevant parties, has not been, is not, and will not be acting as an advisor, agent or fiduciary for the Borrower, Holdings or any of their respective Affiliates, or any other Person and (ii) none of the Agents, the Arrangers nor any Lender has any obligation to the Borrower, Holdings or any of their respective Affiliates with respect to the transactions contemplated hereby except those obligations expressly set forth herein and in the other Loan Documents and (c) the Agents, the Arrangers, the Lenders and their respective Affiliates may be engaged in a broad range of transactions that involve interests that differ from those of the Borrower, Holdings and their respective Affiliates, and none of the Agents, the Arrangers, nor any Lender has any obligation to disclose any of such interests to the Borrower, Holdings or any of their respective Affiliates. To the fullest extent permitted by law, each of the Borrower and Holdings hereby waives and releases any claims that it may have against the Agents, the Arrangers, or any Lender with respect to any breach or alleged breach of agency or fiduciary duty in connection with any aspect of any transaction contemplated hereby.</w:t>
      </w:r>
    </w:p>
    <w:p>
      <w:pPr>
        <w:spacing w:after="0" w:line="192"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SECTION 10.24</w:t>
      </w:r>
      <w:r>
        <w:rPr>
          <w:sz w:val="20"/>
          <w:szCs w:val="20"/>
          <w:color w:val="auto"/>
        </w:rPr>
        <w:tab/>
      </w:r>
      <w:r>
        <w:rPr>
          <w:rFonts w:ascii="Times New Roman" w:cs="Times New Roman" w:eastAsia="Times New Roman" w:hAnsi="Times New Roman"/>
          <w:sz w:val="19"/>
          <w:szCs w:val="19"/>
          <w:color w:val="auto"/>
        </w:rPr>
        <w:t>Release of Collateral and Guarantee Obligations; Subordination of Liens.</w:t>
      </w:r>
    </w:p>
    <w:p>
      <w:pPr>
        <w:spacing w:after="0" w:line="216" w:lineRule="exact"/>
        <w:rPr>
          <w:sz w:val="20"/>
          <w:szCs w:val="20"/>
          <w:color w:val="auto"/>
        </w:rPr>
      </w:pPr>
    </w:p>
    <w:p>
      <w:pPr>
        <w:ind w:firstLine="1505"/>
        <w:spacing w:after="0"/>
        <w:tabs>
          <w:tab w:leader="none" w:pos="1893"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and the Issuing Banks hereby irrevocably agree that the Liens granted to the Administrative Agent or the Collateral Agent by the Loan Parties on any Collateral shall be automatically released (a) in full, as set forth in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below, (b) upon the sale or other transfer of such Collateral (including as part of or in connection with any other sale or other transfer permitted hereunder (including any Receivables Financing Transaction)) to any Person other than another Loan Party, to the extent such sale, transfer or other disposition is made in compliance with the terms of this Agreement (and the Collateral Agent may rely conclusively on a certificate to that effect provided to it by any Loan Party upon its reasonable request without further inquiry), (c) to the extent such Collateral is comprised of property leased to a Loan Party by a Person that is not a Loan Party, upon termination or expiration of such lease, (d) if the release of such Lien is approved, authorized or ratified in writing by the Required Lenders (or such other percentage of the Lenders whose consent may be required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(e) to the extent the property constituting such Collateral is owned by any Guarantor, upon the release of such Guarantor from its obligations under the Guaranty (in accordance with the second succeeding sentence), (f) as required by the Collateral Agent to effect any sale, transfer or other disposition of Collateral in connection with any exercise of remedies of the Collateral Agent pursuant to the Collateral Documents and (g) to the extent such Collateral otherwise becomes Excluded Assets.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sale, all of which shall continue to constitute part of the Collateral except to the extent otherwise released in accordance with the provisions of the Loan Documents. Additionally, the Lenders and the Issuing Banks hereby irrevocably agree that the Guarantors shall be released from the Guaranties upon consummation of any transaction or the occurrence of any event permitted hereunder resulting in such Subsidiary ceasing to constitute a Restricted Subsidiary, or otherwise becoming an Excluded Subsidiary (but in the case of an Excluded Subsidiary joined as a Guarantor pursuant to the Excluded Subsidiary Joinder Exception, subject to the Guarantor Release Election and the satisfaction of the related conditions in the second to last proviso in the definition of “Collateral and Guarantee Requirement”);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Loan Party will dispose of a minority interest in any Guarantor for the primary purpose of releasing the Guaranty made by such Guarantor under the Loan Documents as determined by the Borrower in good faith. The Lenders and the Issuing Banks hereby authorize the Administrative Agent and the Collateral Agent, as applicable, to execute and deliver any instruments, documents, consents, acknowledgements and agreements necessary or desirable to evidence or confirm the release of any Guarantor or Collateral pursuant to the foregoing provisions of this paragraph, all without the further consent or joinder of any Lender or Issuing Bank. Any representation, warranty or covenant contained in any Loan Document relating to any such released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7" w:name="page368"/>
    <w:bookmarkEnd w:id="367"/>
    <w:p>
      <w:pPr>
        <w:ind w:right="120"/>
        <w:spacing w:after="0" w:line="246" w:lineRule="auto"/>
        <w:rPr>
          <w:sz w:val="20"/>
          <w:szCs w:val="20"/>
          <w:color w:val="auto"/>
        </w:rPr>
      </w:pPr>
      <w:r>
        <w:rPr>
          <w:rFonts w:ascii="Times New Roman" w:cs="Times New Roman" w:eastAsia="Times New Roman" w:hAnsi="Times New Roman"/>
          <w:sz w:val="20"/>
          <w:szCs w:val="20"/>
          <w:color w:val="auto"/>
        </w:rPr>
        <w:t xml:space="preserve">Collateral or Guarantor shall no longer be deemed to be repeated. Notwithstanding anything herein to the contrary, no Guarantor shall be released from its Guarantee of the Obligations pursuant to clause (1) of the definition of Excluded Subsidiary other than to the extent such Guarantor becomes non-wholly-owned solely as a result of a bona fide joint venture arrangement with a third party that is not an Affiliate of Holdings or the Sponsor pursuant to an Investment permitted under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valued in an amount equal to the fair market value of such Guarantor at the time of such transaction.</w:t>
      </w:r>
    </w:p>
    <w:p>
      <w:pPr>
        <w:spacing w:after="0" w:line="185" w:lineRule="exact"/>
        <w:rPr>
          <w:sz w:val="20"/>
          <w:szCs w:val="20"/>
          <w:color w:val="auto"/>
        </w:rPr>
      </w:pPr>
    </w:p>
    <w:p>
      <w:pPr>
        <w:ind w:right="20" w:firstLine="1505"/>
        <w:spacing w:after="0" w:line="256" w:lineRule="auto"/>
        <w:tabs>
          <w:tab w:leader="none" w:pos="1893"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or any other Loan Document, when the Termination Conditions are satisfied, upon request of the Borrower, the Administrative Agent or Collateral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(a) Hedging Obligations in respect of any Secured Hedge Agreements, (b) Cash Management Obligations in respect of any Secured Cash Management Agreements, (c) Contingent Obligations not then due and (d) Outstanding Amount of L/C Obligations related to any Letter of Credit that has been Cash Collateralized, backstopped by a letter of credit reasonably satisfactory to the applicable Issuing Bank or deemed reissued under another agreement reasonably acceptable to the applicable Issuing Bank.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173" w:lineRule="exact"/>
        <w:rPr>
          <w:rFonts w:ascii="Times New Roman" w:cs="Times New Roman" w:eastAsia="Times New Roman" w:hAnsi="Times New Roman"/>
          <w:sz w:val="19"/>
          <w:szCs w:val="19"/>
          <w:color w:val="auto"/>
        </w:rPr>
      </w:pPr>
    </w:p>
    <w:p>
      <w:pPr>
        <w:ind w:firstLine="1505"/>
        <w:spacing w:after="0" w:line="249" w:lineRule="auto"/>
        <w:tabs>
          <w:tab w:leader="none" w:pos="1893"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upon request of the Borrower in connection with any Liens permitted by the Loan Documents, the Administrative Agent or Collateral Agent, as applicable, shall (without notice to, or vote or consent of, any Secured Party) take such actions as shall be required to subordinate the Lien on any Collateral to any Lien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to be senior to the Liens in favor of the Collateral Agent.</w:t>
      </w:r>
    </w:p>
    <w:p>
      <w:pPr>
        <w:spacing w:after="0" w:line="180" w:lineRule="exact"/>
        <w:rPr>
          <w:sz w:val="20"/>
          <w:szCs w:val="20"/>
          <w:color w:val="auto"/>
        </w:rPr>
      </w:pPr>
    </w:p>
    <w:p>
      <w:pPr>
        <w:ind w:right="20" w:firstLine="1497"/>
        <w:spacing w:after="0" w:line="245" w:lineRule="auto"/>
        <w:rPr>
          <w:sz w:val="20"/>
          <w:szCs w:val="20"/>
          <w:color w:val="auto"/>
        </w:rPr>
      </w:pPr>
      <w:r>
        <w:rPr>
          <w:rFonts w:ascii="Times New Roman" w:cs="Times New Roman" w:eastAsia="Times New Roman" w:hAnsi="Times New Roman"/>
          <w:sz w:val="20"/>
          <w:szCs w:val="20"/>
          <w:color w:val="auto"/>
        </w:rPr>
        <w:t>SECTION 10.25 Acknowledgement and Consent to Bail-In of Affected Financial Institutions. Solely to the extent any Lender or Issuing Bank that is an Affected Financial Institution is a party to this Agreement, notwithstanding anything to the contrary in any Loan Document or in any other agreement, arrangement or understanding among the parties hereto,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4" w:lineRule="exact"/>
        <w:rPr>
          <w:sz w:val="20"/>
          <w:szCs w:val="20"/>
          <w:color w:val="auto"/>
        </w:rPr>
      </w:pPr>
    </w:p>
    <w:p>
      <w:pPr>
        <w:ind w:right="560" w:firstLine="1505"/>
        <w:spacing w:after="0" w:line="269" w:lineRule="auto"/>
        <w:tabs>
          <w:tab w:leader="none" w:pos="1893"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ind w:right="20" w:firstLine="1880"/>
        <w:spacing w:after="0" w:line="254" w:lineRule="auto"/>
        <w:tabs>
          <w:tab w:leader="none" w:pos="2268" w:val="left"/>
        </w:tabs>
        <w:numPr>
          <w:ilvl w:val="1"/>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-1322705</wp:posOffset>
            </wp:positionV>
            <wp:extent cx="25146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8">
                      <a:extLst>
                        <a:ext uri="{28A0092B-C50C-407E-A947-70E740481C1C}"/>
                      </a:extLst>
                    </a:blip>
                    <a:srcRect/>
                    <a:stretch>
                      <a:fillRect/>
                    </a:stretch>
                  </pic:blipFill>
                  <pic:spPr bwMode="auto">
                    <a:xfrm>
                      <a:off x="0" y="0"/>
                      <a:ext cx="251460" cy="889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-894080</wp:posOffset>
            </wp:positionV>
            <wp:extent cx="2514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9">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-611505</wp:posOffset>
            </wp:positionV>
            <wp:extent cx="25146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0">
                      <a:extLst>
                        <a:ext uri="{28A0092B-C50C-407E-A947-70E740481C1C}"/>
                      </a:extLst>
                    </a:blip>
                    <a:srcRect/>
                    <a:stretch>
                      <a:fillRect/>
                    </a:stretch>
                  </pic:blipFill>
                  <pic:spPr bwMode="auto">
                    <a:xfrm>
                      <a:off x="0" y="0"/>
                      <a:ext cx="25146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-328295</wp:posOffset>
            </wp:positionV>
            <wp:extent cx="25146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1">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20"/>
          <w:szCs w:val="20"/>
          <w:color w:val="auto"/>
        </w:rPr>
        <w:t>accepted by it in lieu of any rights with respect to any such liability under this Agreement or any other Loan Document; or</w:t>
      </w:r>
    </w:p>
    <w:p>
      <w:pPr>
        <w:spacing w:after="0" w:line="216" w:lineRule="exact"/>
        <w:rPr>
          <w:sz w:val="20"/>
          <w:szCs w:val="20"/>
          <w:color w:val="auto"/>
        </w:rPr>
      </w:pPr>
    </w:p>
    <w:p>
      <w:pPr>
        <w:ind w:right="380" w:firstLine="1880"/>
        <w:spacing w:after="0" w:line="269" w:lineRule="auto"/>
        <w:tabs>
          <w:tab w:leader="none" w:pos="2317"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-192405</wp:posOffset>
            </wp:positionV>
            <wp:extent cx="2514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39" w:lineRule="exact"/>
        <w:rPr>
          <w:sz w:val="20"/>
          <w:szCs w:val="20"/>
          <w:color w:val="auto"/>
        </w:rPr>
      </w:pPr>
    </w:p>
    <w:p>
      <w:pPr>
        <w:ind w:right="100" w:firstLine="1497"/>
        <w:spacing w:after="0" w:line="243" w:lineRule="auto"/>
        <w:rPr>
          <w:sz w:val="20"/>
          <w:szCs w:val="20"/>
          <w:color w:val="auto"/>
        </w:rPr>
      </w:pPr>
      <w:r>
        <w:rPr>
          <w:rFonts w:ascii="Times New Roman" w:cs="Times New Roman" w:eastAsia="Times New Roman" w:hAnsi="Times New Roman"/>
          <w:sz w:val="20"/>
          <w:szCs w:val="20"/>
          <w:color w:val="auto"/>
        </w:rPr>
        <w:t>SECTION 10.26 Acknowledgement Regarding Any Supported QFCs. To the extent that the Loan Documents provide support, through a guarantee or otherwise, for any Hedge Agreements or any other agreement or instrument that is a QFC (such support, “</w:t>
      </w:r>
      <w:r>
        <w:rPr>
          <w:rFonts w:ascii="Times New Roman" w:cs="Times New Roman" w:eastAsia="Times New Roman" w:hAnsi="Times New Roman"/>
          <w:sz w:val="20"/>
          <w:szCs w:val="20"/>
          <w:b w:val="1"/>
          <w:bCs w:val="1"/>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b w:val="1"/>
          <w:bCs w:val="1"/>
          <w:color w:val="auto"/>
        </w:rPr>
        <w:t>Supported QFC</w:t>
      </w:r>
      <w:r>
        <w:rPr>
          <w:rFonts w:ascii="Times New Roman" w:cs="Times New Roman" w:eastAsia="Times New Roman" w:hAnsi="Times New Roman"/>
          <w:sz w:val="20"/>
          <w:szCs w:val="20"/>
          <w:color w:val="auto"/>
        </w:rPr>
        <w:t>”), the parties hereto hereby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b w:val="1"/>
          <w:bCs w:val="1"/>
          <w:color w:val="auto"/>
        </w:rPr>
        <w:t>U.S. Special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b w:val="1"/>
          <w:b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REMAINDER OF THIS PAGE IS INTENTIONALLY LEFT BLANK.]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9" w:name="page370"/>
    <w:bookmarkEnd w:id="369"/>
    <w:p>
      <w:pPr>
        <w:spacing w:after="0" w:line="13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duly executed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LIFESTANCE HEALTH HOLDINGS,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7" w:lineRule="exact"/>
        <w:rPr>
          <w:sz w:val="20"/>
          <w:szCs w:val="20"/>
          <w:color w:val="auto"/>
        </w:rPr>
      </w:pPr>
    </w:p>
    <w:tbl>
      <w:tblPr>
        <w:tblLayout w:type="fixed"/>
        <w:tblInd w:w="520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David Bourdon</w:t>
            </w: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David Bourdon</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1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LYNNWOOD INTERMEDIATE HOLDINGS,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as Holdings</w:t>
      </w:r>
    </w:p>
    <w:p>
      <w:pPr>
        <w:spacing w:after="0" w:line="207" w:lineRule="exact"/>
        <w:rPr>
          <w:sz w:val="20"/>
          <w:szCs w:val="20"/>
          <w:color w:val="auto"/>
        </w:rPr>
      </w:pPr>
    </w:p>
    <w:tbl>
      <w:tblPr>
        <w:tblLayout w:type="fixed"/>
        <w:tblInd w:w="520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David Bourdon</w:t>
            </w: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David Bourdon</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31" w:lineRule="exact"/>
        <w:rPr>
          <w:sz w:val="20"/>
          <w:szCs w:val="20"/>
          <w:color w:val="auto"/>
        </w:rPr>
      </w:pPr>
    </w:p>
    <w:p>
      <w:pPr>
        <w:ind w:left="4080" w:right="440" w:hanging="7"/>
        <w:spacing w:after="0" w:line="300" w:lineRule="auto"/>
        <w:rPr>
          <w:sz w:val="20"/>
          <w:szCs w:val="20"/>
          <w:color w:val="auto"/>
        </w:rPr>
      </w:pPr>
      <w:r>
        <w:rPr>
          <w:rFonts w:ascii="Times New Roman" w:cs="Times New Roman" w:eastAsia="Times New Roman" w:hAnsi="Times New Roman"/>
          <w:sz w:val="19"/>
          <w:szCs w:val="19"/>
          <w:b w:val="1"/>
          <w:bCs w:val="1"/>
          <w:color w:val="auto"/>
        </w:rPr>
        <w:t>CAPITAL ONE, NATIONAL ASSOCIATION</w:t>
      </w:r>
      <w:r>
        <w:rPr>
          <w:rFonts w:ascii="Times New Roman" w:cs="Times New Roman" w:eastAsia="Times New Roman" w:hAnsi="Times New Roman"/>
          <w:sz w:val="19"/>
          <w:szCs w:val="19"/>
          <w:color w:val="auto"/>
        </w:rPr>
        <w:t>, as Administrative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Agent, Collateral Agent, Issuing Bank, Swing Line Lender and Lender</w:t>
      </w:r>
    </w:p>
    <w:p>
      <w:pPr>
        <w:spacing w:after="0" w:line="146" w:lineRule="exact"/>
        <w:rPr>
          <w:sz w:val="20"/>
          <w:szCs w:val="20"/>
          <w:color w:val="auto"/>
        </w:rPr>
      </w:pPr>
    </w:p>
    <w:tbl>
      <w:tblPr>
        <w:tblLayout w:type="fixed"/>
        <w:tblInd w:w="408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 Warash</w:t>
            </w: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Chris Warash</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Duly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71" w:name="page372"/>
    <w:bookmarkEnd w:id="371"/>
    <w:p>
      <w:pPr>
        <w:spacing w:after="0" w:line="1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CAPITAL ONE, NATIONAL ASSOCIATION</w:t>
      </w:r>
      <w:r>
        <w:rPr>
          <w:rFonts w:ascii="Times New Roman" w:cs="Times New Roman" w:eastAsia="Times New Roman" w:hAnsi="Times New Roman"/>
          <w:sz w:val="20"/>
          <w:szCs w:val="20"/>
          <w:color w:val="auto"/>
        </w:rPr>
        <w:t>, as Lender</w:t>
      </w:r>
    </w:p>
    <w:p>
      <w:pPr>
        <w:spacing w:after="0" w:line="233" w:lineRule="exact"/>
        <w:rPr>
          <w:sz w:val="20"/>
          <w:szCs w:val="20"/>
          <w:color w:val="auto"/>
        </w:rPr>
      </w:pPr>
    </w:p>
    <w:tbl>
      <w:tblPr>
        <w:tblLayout w:type="fixed"/>
        <w:tblInd w:w="408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 Warash</w:t>
            </w: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Chris Warash</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Duly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72" w:name="page373"/>
    <w:bookmarkEnd w:id="372"/>
    <w:p>
      <w:pPr>
        <w:spacing w:after="0" w:line="1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CITIZENS BANK, NATIONAL ASSOCIATION</w:t>
      </w:r>
      <w:r>
        <w:rPr>
          <w:rFonts w:ascii="Times New Roman" w:cs="Times New Roman" w:eastAsia="Times New Roman" w:hAnsi="Times New Roman"/>
          <w:sz w:val="20"/>
          <w:szCs w:val="20"/>
          <w:color w:val="auto"/>
        </w:rPr>
        <w:t>, as Lender</w:t>
      </w:r>
    </w:p>
    <w:p>
      <w:pPr>
        <w:spacing w:after="0" w:line="233" w:lineRule="exact"/>
        <w:rPr>
          <w:sz w:val="20"/>
          <w:szCs w:val="20"/>
          <w:color w:val="auto"/>
        </w:rPr>
      </w:pPr>
    </w:p>
    <w:tbl>
      <w:tblPr>
        <w:tblLayout w:type="fixed"/>
        <w:tblInd w:w="408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Aman Patel</w:t>
            </w: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Aman Patel</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73" w:name="page374"/>
    <w:bookmarkEnd w:id="373"/>
    <w:p>
      <w:pPr>
        <w:spacing w:after="0" w:line="1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KeyBank National Association</w:t>
      </w:r>
      <w:r>
        <w:rPr>
          <w:rFonts w:ascii="Times New Roman" w:cs="Times New Roman" w:eastAsia="Times New Roman" w:hAnsi="Times New Roman"/>
          <w:sz w:val="20"/>
          <w:szCs w:val="20"/>
          <w:color w:val="auto"/>
        </w:rPr>
        <w:t>, as Lender</w:t>
      </w:r>
    </w:p>
    <w:p>
      <w:pPr>
        <w:spacing w:after="0" w:line="233" w:lineRule="exact"/>
        <w:rPr>
          <w:sz w:val="20"/>
          <w:szCs w:val="20"/>
          <w:color w:val="auto"/>
        </w:rPr>
      </w:pPr>
    </w:p>
    <w:tbl>
      <w:tblPr>
        <w:tblLayout w:type="fixed"/>
        <w:tblInd w:w="408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Alyssa Suckow</w:t>
            </w: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Alyssa Suckow</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74" w:name="page375"/>
    <w:bookmarkEnd w:id="374"/>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Lender</w:t>
      </w:r>
    </w:p>
    <w:p>
      <w:pPr>
        <w:spacing w:after="0" w:line="233" w:lineRule="exact"/>
        <w:rPr>
          <w:sz w:val="20"/>
          <w:szCs w:val="20"/>
          <w:color w:val="auto"/>
        </w:rPr>
      </w:pPr>
    </w:p>
    <w:tbl>
      <w:tblPr>
        <w:tblLayout w:type="fixed"/>
        <w:tblInd w:w="408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Jonathan Hart</w:t>
            </w: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Jonathan Hart</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75" w:name="page376"/>
    <w:bookmarkEnd w:id="375"/>
    <w:p>
      <w:pPr>
        <w:spacing w:after="0" w:line="131"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20"/>
          <w:szCs w:val="20"/>
          <w:b w:val="1"/>
          <w:bCs w:val="1"/>
          <w:color w:val="auto"/>
        </w:rPr>
        <w:t>Bank of Montreal</w:t>
      </w:r>
      <w:r>
        <w:rPr>
          <w:rFonts w:ascii="Times New Roman" w:cs="Times New Roman" w:eastAsia="Times New Roman" w:hAnsi="Times New Roman"/>
          <w:sz w:val="20"/>
          <w:szCs w:val="20"/>
          <w:color w:val="auto"/>
        </w:rPr>
        <w:t>, as Lender</w:t>
      </w:r>
    </w:p>
    <w:p>
      <w:pPr>
        <w:spacing w:after="0" w:line="233" w:lineRule="exact"/>
        <w:rPr>
          <w:sz w:val="20"/>
          <w:szCs w:val="20"/>
          <w:color w:val="auto"/>
        </w:rPr>
      </w:pPr>
    </w:p>
    <w:tbl>
      <w:tblPr>
        <w:tblLayout w:type="fixed"/>
        <w:tblInd w:w="408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Eric Oppenheimer</w:t>
            </w: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Eric Oppenheimer</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76" w:name="page377"/>
    <w:bookmarkEnd w:id="376"/>
    <w:p>
      <w:pPr>
        <w:spacing w:after="0" w:line="1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 as Lender</w:t>
      </w:r>
    </w:p>
    <w:p>
      <w:pPr>
        <w:spacing w:after="0" w:line="233" w:lineRule="exact"/>
        <w:rPr>
          <w:sz w:val="20"/>
          <w:szCs w:val="20"/>
          <w:color w:val="auto"/>
        </w:rPr>
      </w:pPr>
    </w:p>
    <w:tbl>
      <w:tblPr>
        <w:tblLayout w:type="fixed"/>
        <w:tblInd w:w="408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Jordan Harris</w:t>
            </w: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Jordan Harris</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pacing w:after="0" w:line="23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20"/>
          <w:szCs w:val="20"/>
          <w:b w:val="1"/>
          <w:bCs w:val="1"/>
          <w:u w:val="single" w:color="auto"/>
          <w:color w:val="auto"/>
        </w:rPr>
        <w:t>SCHEDULES</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color w:val="auto"/>
        </w:rPr>
        <w:t>Closing Date Subsidiary Guarantors</w:t>
      </w:r>
    </w:p>
    <w:p>
      <w:pPr>
        <w:spacing w:after="0" w:line="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color w:val="auto"/>
        </w:rPr>
        <w:t>Cash Management Banks</w:t>
      </w: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auto"/>
              </w:rPr>
              <w:t>1.01(4)</w:t>
            </w:r>
          </w:p>
        </w:tc>
        <w:tc>
          <w:tcPr>
            <w:tcW w:w="1044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auto"/>
              </w:rPr>
              <w:t>Hedge Banks</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1.01(5)</w:t>
            </w:r>
          </w:p>
        </w:tc>
        <w:tc>
          <w:tcPr>
            <w:tcW w:w="10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Mortgaged Properties</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1.01(6)</w:t>
            </w:r>
          </w:p>
        </w:tc>
        <w:tc>
          <w:tcPr>
            <w:tcW w:w="10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Affiliated Practices</w:t>
            </w:r>
          </w:p>
        </w:tc>
      </w:t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2.01</w:t>
            </w:r>
          </w:p>
        </w:tc>
        <w:tc>
          <w:tcPr>
            <w:tcW w:w="108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Commitments</w:t>
            </w:r>
          </w:p>
        </w:tc>
      </w:tr>
      <w:tr>
        <w:trPr>
          <w:trHeight w:val="230"/>
        </w:trPr>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4.01(1)(c)</w:t>
            </w:r>
          </w:p>
        </w:tc>
        <w:tc>
          <w:tcPr>
            <w:tcW w:w="10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Certain Collateral Documents</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4.01(1)(f)</w:t>
            </w:r>
          </w:p>
        </w:tc>
        <w:tc>
          <w:tcPr>
            <w:tcW w:w="20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Local Counsel</w:t>
            </w:r>
          </w:p>
        </w:tc>
      </w:t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5.12</w:t>
            </w:r>
          </w:p>
        </w:tc>
        <w:tc>
          <w:tcPr>
            <w:tcW w:w="108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Subsidiaries and Other Equity Investments</w:t>
            </w:r>
          </w:p>
        </w:tc>
      </w:tr>
      <w:tr>
        <w:trPr>
          <w:trHeight w:val="230"/>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6.12(2)  Post-Closing Matters</w:t>
            </w:r>
          </w:p>
        </w:tc>
      </w:t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7.01</w:t>
            </w:r>
          </w:p>
        </w:tc>
        <w:tc>
          <w:tcPr>
            <w:tcW w:w="108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7.02</w:t>
            </w:r>
          </w:p>
        </w:tc>
        <w:tc>
          <w:tcPr>
            <w:tcW w:w="108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7.05</w:t>
            </w:r>
          </w:p>
        </w:tc>
        <w:tc>
          <w:tcPr>
            <w:tcW w:w="108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58"/>
        </w:trPr>
        <w:tc>
          <w:tcPr>
            <w:tcW w:w="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10.02</w:t>
            </w:r>
          </w:p>
        </w:tc>
        <w:tc>
          <w:tcPr>
            <w:tcW w:w="200" w:type="dxa"/>
            <w:vAlign w:val="bottom"/>
          </w:tcPr>
          <w:p>
            <w:pPr>
              <w:spacing w:after="0"/>
              <w:rPr>
                <w:sz w:val="22"/>
                <w:szCs w:val="22"/>
                <w:color w:val="auto"/>
              </w:rPr>
            </w:pPr>
          </w:p>
        </w:tc>
        <w:tc>
          <w:tcPr>
            <w:tcW w:w="10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Administrative Agent’s Office, Certain Addresses for Notices Schedule</w:t>
            </w:r>
          </w:p>
        </w:tc>
      </w:tr>
      <w:tr>
        <w:trPr>
          <w:trHeight w:val="1405"/>
        </w:trPr>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78" w:name="page379"/>
    <w:bookmarkEnd w:id="378"/>
    <w:p>
      <w:pPr>
        <w:jc w:val="center"/>
        <w:spacing w:after="0"/>
        <w:rPr>
          <w:sz w:val="20"/>
          <w:szCs w:val="20"/>
          <w:color w:val="auto"/>
        </w:rPr>
      </w:pPr>
      <w:r>
        <w:rPr>
          <w:rFonts w:ascii="Times New Roman" w:cs="Times New Roman" w:eastAsia="Times New Roman" w:hAnsi="Times New Roman"/>
          <w:sz w:val="19"/>
          <w:szCs w:val="19"/>
          <w:b w:val="1"/>
          <w:bCs w:val="1"/>
          <w:color w:val="auto"/>
        </w:rPr>
        <w:t>1.01(1) – Closing Date Subsidiary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79" w:name="page380"/>
    <w:bookmarkEnd w:id="37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1.01(2) – Cash Management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0" w:name="page381"/>
    <w:bookmarkEnd w:id="380"/>
    <w:p>
      <w:pPr>
        <w:jc w:val="center"/>
        <w:spacing w:after="0"/>
        <w:rPr>
          <w:sz w:val="20"/>
          <w:szCs w:val="20"/>
          <w:color w:val="auto"/>
        </w:rPr>
      </w:pPr>
      <w:r>
        <w:rPr>
          <w:rFonts w:ascii="Times New Roman" w:cs="Times New Roman" w:eastAsia="Times New Roman" w:hAnsi="Times New Roman"/>
          <w:sz w:val="19"/>
          <w:szCs w:val="19"/>
          <w:b w:val="1"/>
          <w:bCs w:val="1"/>
          <w:color w:val="auto"/>
        </w:rPr>
        <w:t>Schedule 1.01(4) – Hedge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1" w:name="page382"/>
    <w:bookmarkEnd w:id="38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1.01(5) – Mortgaged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2" w:name="page383"/>
    <w:bookmarkEnd w:id="38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1.01(6) – Affiliated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3" w:name="page384"/>
    <w:bookmarkEnd w:id="38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2.01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19"/>
          <w:szCs w:val="19"/>
          <w:b w:val="1"/>
          <w:bCs w:val="1"/>
          <w:color w:val="auto"/>
        </w:rPr>
        <w:t>Schedule 4.01(1)(c) – Certain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5" w:name="page386"/>
    <w:bookmarkEnd w:id="385"/>
    <w:p>
      <w:pPr>
        <w:jc w:val="center"/>
        <w:spacing w:after="0"/>
        <w:rPr>
          <w:sz w:val="20"/>
          <w:szCs w:val="20"/>
          <w:color w:val="auto"/>
        </w:rPr>
      </w:pPr>
      <w:r>
        <w:rPr>
          <w:rFonts w:ascii="Times New Roman" w:cs="Times New Roman" w:eastAsia="Times New Roman" w:hAnsi="Times New Roman"/>
          <w:sz w:val="19"/>
          <w:szCs w:val="19"/>
          <w:b w:val="1"/>
          <w:bCs w:val="1"/>
          <w:color w:val="auto"/>
        </w:rPr>
        <w:t>Schedule 4.01(1)(f) – Local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6" w:name="page387"/>
    <w:bookmarkEnd w:id="38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5.12 – Subsidiaries and Other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7" w:name="page388"/>
    <w:bookmarkEnd w:id="38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6.12(2) – Post-Closing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7.01 – Existing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89" w:name="page390"/>
    <w:bookmarkEnd w:id="38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7.02 – Existing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90" w:name="page391"/>
    <w:bookmarkEnd w:id="39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7.05 – Existing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91" w:name="page392"/>
    <w:bookmarkEnd w:id="39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Schedule 10.02 – Administrative Agent’s Office, Certain Addresses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22"/>
          <w:szCs w:val="22"/>
          <w:b w:val="1"/>
          <w:bCs w:val="1"/>
          <w:color w:val="auto"/>
        </w:rPr>
        <w:t>EXHIBIT A-1</w:t>
      </w:r>
    </w:p>
    <w:p>
      <w:pPr>
        <w:spacing w:after="0" w:line="3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22"/>
          <w:szCs w:val="22"/>
          <w:b w:val="1"/>
          <w:bCs w:val="1"/>
          <w:color w:val="auto"/>
        </w:rPr>
        <w:t>EXHIBIT A-2</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SWING LINE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39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1011555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REVOLVING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22"/>
          <w:szCs w:val="22"/>
          <w:b w:val="1"/>
          <w:bCs w:val="1"/>
          <w:color w:val="auto"/>
        </w:rPr>
        <w:t>EXHIBIT B-4</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SWING LINE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3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22"/>
          <w:szCs w:val="22"/>
          <w:b w:val="1"/>
          <w:bCs w:val="1"/>
          <w:color w:val="auto"/>
        </w:rPr>
        <w:t>EXHIBIT D-1</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22"/>
          <w:szCs w:val="22"/>
          <w:b w:val="1"/>
          <w:bCs w:val="1"/>
          <w:color w:val="auto"/>
        </w:rPr>
        <w:t>EXHIBIT D-2</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AFFILIATED LENDER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39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FORM OF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1029335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39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b w:val="1"/>
          <w:bCs w:val="1"/>
          <w:color w:val="auto"/>
        </w:rPr>
        <w:t>FORM OF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1029335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22"/>
          <w:szCs w:val="22"/>
          <w:b w:val="1"/>
          <w:bCs w:val="1"/>
          <w:color w:val="auto"/>
        </w:rPr>
        <w:t>EXHIBIT G-1</w:t>
      </w:r>
    </w:p>
    <w:p>
      <w:pPr>
        <w:spacing w:after="0" w:line="39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FORM OF EQUAL PRIORITY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22"/>
          <w:szCs w:val="22"/>
          <w:b w:val="1"/>
          <w:bCs w:val="1"/>
          <w:color w:val="auto"/>
        </w:rPr>
        <w:t>EXHIBIT G-2</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FORM OF FIRST LIEN/SECOND LIEN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22"/>
          <w:szCs w:val="22"/>
          <w:b w:val="1"/>
          <w:bCs w:val="1"/>
          <w:color w:val="auto"/>
        </w:rPr>
        <w:t>EXHIBIT H-1</w:t>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UNITED STATES TAX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5" w:name="page406"/>
    <w:bookmarkEnd w:id="405"/>
    <w:p>
      <w:pPr>
        <w:jc w:val="right"/>
        <w:spacing w:after="0"/>
        <w:rPr>
          <w:sz w:val="20"/>
          <w:szCs w:val="20"/>
          <w:color w:val="auto"/>
        </w:rPr>
      </w:pPr>
      <w:r>
        <w:rPr>
          <w:rFonts w:ascii="Times New Roman" w:cs="Times New Roman" w:eastAsia="Times New Roman" w:hAnsi="Times New Roman"/>
          <w:sz w:val="22"/>
          <w:szCs w:val="22"/>
          <w:b w:val="1"/>
          <w:bCs w:val="1"/>
          <w:color w:val="auto"/>
        </w:rPr>
        <w:t>EXHIBIT H-2</w:t>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UNITED STATES TAX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22"/>
          <w:szCs w:val="22"/>
          <w:b w:val="1"/>
          <w:bCs w:val="1"/>
          <w:color w:val="auto"/>
        </w:rPr>
        <w:t>EXHIBIT H-3</w:t>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UNITED STATES TAX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7" w:name="page408"/>
    <w:bookmarkEnd w:id="407"/>
    <w:p>
      <w:pPr>
        <w:jc w:val="right"/>
        <w:spacing w:after="0"/>
        <w:rPr>
          <w:sz w:val="20"/>
          <w:szCs w:val="20"/>
          <w:color w:val="auto"/>
        </w:rPr>
      </w:pPr>
      <w:r>
        <w:rPr>
          <w:rFonts w:ascii="Times New Roman" w:cs="Times New Roman" w:eastAsia="Times New Roman" w:hAnsi="Times New Roman"/>
          <w:sz w:val="22"/>
          <w:szCs w:val="22"/>
          <w:b w:val="1"/>
          <w:bCs w:val="1"/>
          <w:color w:val="auto"/>
        </w:rPr>
        <w:t>EXHIBIT H-4</w:t>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UNITED STATES TAX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8" w:name="page409"/>
    <w:bookmarkEnd w:id="408"/>
    <w:p>
      <w:pPr>
        <w:jc w:val="right"/>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3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FORM OF SOLVENCY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1026795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09" w:name="page410"/>
    <w:bookmarkEnd w:id="409"/>
    <w:p>
      <w:pPr>
        <w:jc w:val="right"/>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DISCOUNT RANGE PREPAYMENT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[FORM OF]</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DISCOUNT RANGE PREPAYMENT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11" w:name="page412"/>
    <w:bookmarkEnd w:id="411"/>
    <w:p>
      <w:pPr>
        <w:jc w:val="right"/>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3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[FORM OF ]</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SOLICITED DISCOUNTED PREPAYMENT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12" w:name="page413"/>
    <w:bookmarkEnd w:id="412"/>
    <w:p>
      <w:pPr>
        <w:jc w:val="right"/>
        <w:spacing w:after="0"/>
        <w:rPr>
          <w:sz w:val="20"/>
          <w:szCs w:val="20"/>
          <w:color w:val="auto"/>
        </w:rPr>
      </w:pPr>
      <w:r>
        <w:rPr>
          <w:rFonts w:ascii="Times New Roman" w:cs="Times New Roman" w:eastAsia="Times New Roman" w:hAnsi="Times New Roman"/>
          <w:sz w:val="22"/>
          <w:szCs w:val="22"/>
          <w:color w:val="auto"/>
        </w:rPr>
        <w:t>EXHIBIT M</w:t>
      </w:r>
    </w:p>
    <w:p>
      <w:pPr>
        <w:spacing w:after="0" w:line="39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ACCEPTANCE AND PREPAYMENT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22"/>
          <w:szCs w:val="22"/>
          <w:color w:val="auto"/>
        </w:rPr>
        <w:t>EXHIBIT N</w:t>
      </w:r>
    </w:p>
    <w:p>
      <w:pPr>
        <w:spacing w:after="0" w:line="3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SPECIFIED DISCOUNT PREPAYMENT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414" w:name="page415"/>
    <w:bookmarkEnd w:id="414"/>
    <w:p>
      <w:pPr>
        <w:jc w:val="right"/>
        <w:spacing w:after="0"/>
        <w:rPr>
          <w:sz w:val="20"/>
          <w:szCs w:val="20"/>
          <w:color w:val="auto"/>
        </w:rPr>
      </w:pPr>
      <w:r>
        <w:rPr>
          <w:rFonts w:ascii="Times New Roman" w:cs="Times New Roman" w:eastAsia="Times New Roman" w:hAnsi="Times New Roman"/>
          <w:sz w:val="22"/>
          <w:szCs w:val="22"/>
          <w:b w:val="1"/>
          <w:bCs w:val="1"/>
          <w:color w:val="auto"/>
        </w:rPr>
        <w:t>EXHIBIT O</w:t>
      </w:r>
    </w:p>
    <w:p>
      <w:pPr>
        <w:spacing w:after="0" w:line="3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SOLICITED DISCOUNTED PREPAYMENT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15" w:name="page416"/>
    <w:bookmarkEnd w:id="415"/>
    <w:p>
      <w:pPr>
        <w:jc w:val="right"/>
        <w:spacing w:after="0"/>
        <w:rPr>
          <w:sz w:val="20"/>
          <w:szCs w:val="20"/>
          <w:color w:val="auto"/>
        </w:rPr>
      </w:pPr>
      <w:r>
        <w:rPr>
          <w:rFonts w:ascii="Times New Roman" w:cs="Times New Roman" w:eastAsia="Times New Roman" w:hAnsi="Times New Roman"/>
          <w:sz w:val="22"/>
          <w:szCs w:val="22"/>
          <w:b w:val="1"/>
          <w:bCs w:val="1"/>
          <w:color w:val="auto"/>
        </w:rPr>
        <w:t>EXHIBIT P</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SPECIFIED DISCOUNT PREPAYMENT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22"/>
          <w:szCs w:val="22"/>
          <w:b w:val="1"/>
          <w:bCs w:val="1"/>
          <w:color w:val="auto"/>
        </w:rPr>
        <w:t>EXHIBIT Q</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INTERCOMPANY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22"/>
          <w:szCs w:val="22"/>
          <w:b w:val="1"/>
          <w:bCs w:val="1"/>
          <w:color w:val="auto"/>
        </w:rPr>
        <w:t>EXHIBIT R-1</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LETTER OF CREDIT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22"/>
          <w:szCs w:val="22"/>
          <w:b w:val="1"/>
          <w:bCs w:val="1"/>
          <w:color w:val="auto"/>
        </w:rPr>
        <w:t>EXHIBIT R-2</w:t>
      </w:r>
    </w:p>
    <w:p>
      <w:pPr>
        <w:spacing w:after="0" w:line="3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SWING LINE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LIFESTANCE HEALTH GROUP, INC.</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PURPOSE</w:t>
      </w:r>
    </w:p>
    <w:p>
      <w:pPr>
        <w:spacing w:after="0" w:line="210"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This Insider Trading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provides guidelines with respect to transactions in the securities of LifeStance Health Group, Inc.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and the handling of confidential information about the Corporation and the companies with which the Corporation does business. The Corporation’s Board of Directors (the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has adopted this Policy to promote compliance with U.S. federal and state securities laws that prohibit certain persons who are aware of material nonpublic information about a company from: (i) trading in securities of that company; or (ii) providing such material nonpublic information to other persons who may trade on the basis of that information, commonly known as “tipping.”</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PERSONS SUBJECT TO THIS POLICY</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This Policy applies to all directors, officers, and employees of the Corporation and its subsidiaries, including clinicians and staff employed by the Corporation’s various practice groups. The same restrictions that apply to such directors, officers and employees also apply to (i) family members who reside with them, (ii) anyone else who lives in their household, (iii) any family members who do not live in their household but whose transactions in Corporation Securities (as defined below) are directed by them or are subject to their influence or control (such as parents or children who consult with them before they trade in Corporation Securities), and (iv) family trusts, family partnerships and similar entities controlled by them or any person described in clauses (i)-(iii) (collectively, “</w:t>
      </w:r>
      <w:r>
        <w:rPr>
          <w:rFonts w:ascii="Times New Roman" w:cs="Times New Roman" w:eastAsia="Times New Roman" w:hAnsi="Times New Roman"/>
          <w:sz w:val="22"/>
          <w:szCs w:val="22"/>
          <w:u w:val="single" w:color="auto"/>
          <w:color w:val="auto"/>
        </w:rPr>
        <w:t>Other Covered Persons</w:t>
      </w:r>
      <w:r>
        <w:rPr>
          <w:rFonts w:ascii="Times New Roman" w:cs="Times New Roman" w:eastAsia="Times New Roman" w:hAnsi="Times New Roman"/>
          <w:sz w:val="22"/>
          <w:szCs w:val="22"/>
          <w:color w:val="auto"/>
        </w:rPr>
        <w:t>”). Directors, officers, and employees are responsible for transactions by Other Covered Persons and for informing them of this Policy.</w:t>
      </w:r>
    </w:p>
    <w:p>
      <w:pPr>
        <w:spacing w:after="0" w:line="178" w:lineRule="exact"/>
        <w:rPr>
          <w:sz w:val="20"/>
          <w:szCs w:val="20"/>
          <w:color w:val="auto"/>
        </w:rPr>
      </w:pPr>
    </w:p>
    <w:p>
      <w:pPr>
        <w:ind w:right="540" w:firstLine="749"/>
        <w:spacing w:after="0" w:line="244" w:lineRule="auto"/>
        <w:rPr>
          <w:sz w:val="20"/>
          <w:szCs w:val="20"/>
          <w:color w:val="auto"/>
        </w:rPr>
      </w:pPr>
      <w:r>
        <w:rPr>
          <w:rFonts w:ascii="Times New Roman" w:cs="Times New Roman" w:eastAsia="Times New Roman" w:hAnsi="Times New Roman"/>
          <w:sz w:val="22"/>
          <w:szCs w:val="22"/>
          <w:color w:val="auto"/>
        </w:rPr>
        <w:t>The Corporation may also determine that other persons should be subject to this Policy, such as contractors or consultants who have access to material nonpublic information. Any such other persons will be notified by the Compliance Officer.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SUBJECT TO THIS POLICY</w:t>
      </w:r>
    </w:p>
    <w:p>
      <w:pPr>
        <w:spacing w:after="0" w:line="210"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This Policy applies to transactions in the Corporation’s securities, including the Corporation’s common stock, options to purchase common stock, restricted stock units, or any other type of security or instrument that the Corporation may issue, including, but not limited to, preferred stock, debt, loans, convertible debt and warrants, as well as to derivative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0" w:name="page421"/>
    <w:bookmarkEnd w:id="420"/>
    <w:p>
      <w:pPr>
        <w:ind w:right="1000"/>
        <w:spacing w:after="0" w:line="258" w:lineRule="auto"/>
        <w:rPr>
          <w:sz w:val="20"/>
          <w:szCs w:val="20"/>
          <w:color w:val="auto"/>
        </w:rPr>
      </w:pPr>
      <w:r>
        <w:rPr>
          <w:rFonts w:ascii="Times New Roman" w:cs="Times New Roman" w:eastAsia="Times New Roman" w:hAnsi="Times New Roman"/>
          <w:sz w:val="22"/>
          <w:szCs w:val="22"/>
          <w:color w:val="auto"/>
        </w:rPr>
        <w:t>relating to any of the Corporation’s securities, whether or not issued by the Corporation or settled in cash or securities (collectively, “</w:t>
      </w:r>
      <w:r>
        <w:rPr>
          <w:rFonts w:ascii="Times New Roman" w:cs="Times New Roman" w:eastAsia="Times New Roman" w:hAnsi="Times New Roman"/>
          <w:sz w:val="22"/>
          <w:szCs w:val="22"/>
          <w:u w:val="single" w:color="auto"/>
          <w:color w:val="auto"/>
        </w:rPr>
        <w:t>Corporation Securities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INDIVIDUAL RESPONSIBILITY</w:t>
      </w:r>
    </w:p>
    <w:p>
      <w:pPr>
        <w:spacing w:after="0" w:line="210" w:lineRule="exact"/>
        <w:rPr>
          <w:sz w:val="20"/>
          <w:szCs w:val="20"/>
          <w:color w:val="auto"/>
        </w:rPr>
      </w:pPr>
    </w:p>
    <w:p>
      <w:pPr>
        <w:ind w:right="140" w:firstLine="749"/>
        <w:spacing w:after="0" w:line="234"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the Corporation and not to engage in transactions in Corporation Securities while in possession of material nonpublic information. Each individual is responsible for making sure that she or he complies with this Policy, and that any family member, household member, or entity whose transactions are subject to this Policy, as discussed above, also complies with this Policy. In all cases, the responsibility for determining whether an individual is in possession of material nonpublic information rests with that individual, and any action on the part of the Corporation, the Compliance Officer or any other employee or director pursuant to this Policy (or otherwise) does not in any way constitute legal advice or insulate an individual from liability under applicable securities laws. Persons subject to this Policy could be subject to severe legal penalties and disciplinary action by the Corporation for any conduct prohibited by this Policy or applicable securities laws, as described below in more detail under the heading “Consequences of Violations.”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 OF THIS POLICY</w:t>
      </w:r>
    </w:p>
    <w:p>
      <w:pPr>
        <w:spacing w:after="0" w:line="210"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The Corporation’s Chief Legal Officer or such other officer as is designated by the Chief Executive Officer shall serve, in consultation with the Chief Executive Officer, as the Compliance Officer for the purposes of this Policy, and in such role, shall be responsible for the administration of this Policy. In the absence of the Compliance Officer, another employee designated by the Compliance Officer (or, if the Compliance Officer is unavailable, by the Chief Executive Officer, and, if the Chief Executive Officer is unavailable, by the Chief Financial Officer) shall be responsible for administration of this Policy. All determinations and interpretations by the Compliance Officer or her or his delegate shall be final and not subject to further review.</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POLICY</w:t>
      </w:r>
    </w:p>
    <w:p>
      <w:pPr>
        <w:spacing w:after="0" w:line="210"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It is the policy of the Corporation that a director, officer or other employee of the Corporation or its subsidiaries (or any other person designated by the Compliance Officer as subject to this Policy) who is aware of material nonpublic information relating to the Corporation may not directly or indirectly through Other Covered Persons:</w:t>
      </w:r>
    </w:p>
    <w:p>
      <w:pPr>
        <w:spacing w:after="0" w:line="173" w:lineRule="exact"/>
        <w:rPr>
          <w:sz w:val="20"/>
          <w:szCs w:val="20"/>
          <w:color w:val="auto"/>
        </w:rPr>
      </w:pPr>
    </w:p>
    <w:p>
      <w:pPr>
        <w:ind w:firstLine="2254"/>
        <w:spacing w:after="0" w:line="244" w:lineRule="auto"/>
        <w:tabs>
          <w:tab w:leader="none" w:pos="2678" w:val="left"/>
        </w:tabs>
        <w:numPr>
          <w:ilvl w:val="0"/>
          <w:numId w:val="4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transactions in Corporation Securities, except as otherwise specified in this Policy under the headings “Transactions Under Corporation Plans,” “Transactions Not Involving a Purchase or Sale” and “Rule 10b5-1 Plans”;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421" w:name="page422"/>
    <w:bookmarkEnd w:id="421"/>
    <w:p>
      <w:pPr>
        <w:ind w:right="340" w:firstLine="2254"/>
        <w:spacing w:after="0" w:line="258" w:lineRule="auto"/>
        <w:tabs>
          <w:tab w:leader="none" w:pos="311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pass material nonpublic information on to others or recommend to anyone the purchase or sale of any securities when they are aware of such information;</w:t>
      </w:r>
    </w:p>
    <w:p>
      <w:pPr>
        <w:spacing w:after="0" w:line="158" w:lineRule="exact"/>
        <w:rPr>
          <w:rFonts w:ascii="Times New Roman" w:cs="Times New Roman" w:eastAsia="Times New Roman" w:hAnsi="Times New Roman"/>
          <w:sz w:val="22"/>
          <w:szCs w:val="22"/>
          <w:color w:val="auto"/>
        </w:rPr>
      </w:pPr>
    </w:p>
    <w:p>
      <w:pPr>
        <w:ind w:right="400" w:firstLine="2254"/>
        <w:spacing w:after="0" w:line="255" w:lineRule="auto"/>
        <w:tabs>
          <w:tab w:leader="none" w:pos="2678" w:val="left"/>
        </w:tabs>
        <w:numPr>
          <w:ilvl w:val="0"/>
          <w:numId w:val="4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 material nonpublic information to persons within the Corporation whose jobs do not require them to have that information, or anyone outside of the Corporation, including, but not limited to, family, friends, business associates, investors and expert consulting firms, unless any such disclosure is made in accordance with the Corporation’s policies regarding the protection or authorized external disclosure of information regarding the Corporation; or</w:t>
      </w:r>
    </w:p>
    <w:p>
      <w:pPr>
        <w:spacing w:after="0" w:line="161"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 in contravention of this Policy.</w:t>
      </w:r>
    </w:p>
    <w:p>
      <w:pPr>
        <w:spacing w:after="0" w:line="206" w:lineRule="exact"/>
        <w:rPr>
          <w:sz w:val="20"/>
          <w:szCs w:val="20"/>
          <w:color w:val="auto"/>
        </w:rPr>
      </w:pPr>
    </w:p>
    <w:p>
      <w:pPr>
        <w:ind w:right="340" w:firstLine="749"/>
        <w:spacing w:after="0" w:line="255" w:lineRule="auto"/>
        <w:rPr>
          <w:sz w:val="20"/>
          <w:szCs w:val="20"/>
          <w:color w:val="auto"/>
        </w:rPr>
      </w:pPr>
      <w:r>
        <w:rPr>
          <w:rFonts w:ascii="Times New Roman" w:cs="Times New Roman" w:eastAsia="Times New Roman" w:hAnsi="Times New Roman"/>
          <w:sz w:val="21"/>
          <w:szCs w:val="21"/>
          <w:color w:val="auto"/>
        </w:rPr>
        <w:t>In addition, it is the policy of the Corporation that a director, officer, or employee of the Corporation (or any other person designated by the Compliance Officer) who, in the course of working for the Corporation, learns of material nonpublic information about a company with which the Corporation does business, including a payor or other business partner of the Corporation, may not trade in that company’s securities until the information becomes public or is no longer material.</w:t>
      </w:r>
    </w:p>
    <w:p>
      <w:pPr>
        <w:spacing w:after="0" w:line="162"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noted herein. Transactions that may be necessary or justifiable for independent reasons (such as the need to raise money for an emergency expenditure), or small transactions, are not exempt from this Policy. The securities laws do not recognize any mitigating circumstances, and, in any event, even the appearance of an improper transaction must be avoided to preserve the Corporation’s reputation for adhering to the highest standards of conduct.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 OF MATERIAL NONPUBLIC INFORMATION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following are descriptions of information that may be deemed “material” and “non-public.” Persons subject to this Policy should contact the Compliance Officer to discuss particular facts and circumstances and, when in doubt, refrain from trading.</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 1.</w:t>
      </w:r>
      <w:r>
        <w:rPr>
          <w:sz w:val="20"/>
          <w:szCs w:val="20"/>
          <w:color w:val="auto"/>
        </w:rPr>
        <w:tab/>
      </w:r>
      <w:r>
        <w:rPr>
          <w:rFonts w:ascii="Times New Roman" w:cs="Times New Roman" w:eastAsia="Times New Roman" w:hAnsi="Times New Roman"/>
          <w:sz w:val="21"/>
          <w:szCs w:val="21"/>
          <w:u w:val="single" w:color="auto"/>
          <w:color w:val="auto"/>
        </w:rPr>
        <w:t>Material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Information is considered “material” if a reasonable investor would consider that information important in making a decision to buy, hold or sell securities. Any information that could be expected to affect the Corporation’s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w:t>
      </w:r>
    </w:p>
    <w:p>
      <w:pPr>
        <w:spacing w:after="0" w:line="17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While it is not possible to define all categories of material information, the following are some examples of information that ordinarily could be regarded as material: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2" w:name="page423"/>
    <w:bookmarkEnd w:id="422"/>
    <w:p>
      <w:pPr>
        <w:ind w:left="1560" w:hanging="426"/>
        <w:spacing w:after="0"/>
        <w:tabs>
          <w:tab w:leader="none" w:pos="1560" w:val="left"/>
        </w:tabs>
        <w:numPr>
          <w:ilvl w:val="0"/>
          <w:numId w:val="4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to previously announced earnings guidance, or the decision to suspend earnings guidance;</w:t>
      </w:r>
    </w:p>
    <w:p>
      <w:pPr>
        <w:spacing w:after="0" w:line="217" w:lineRule="exact"/>
        <w:rPr>
          <w:rFonts w:ascii="Times New Roman" w:cs="Times New Roman" w:eastAsia="Times New Roman" w:hAnsi="Times New Roman"/>
          <w:sz w:val="21"/>
          <w:szCs w:val="21"/>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significant acquisition or tender offer;</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acquisition or disposition of a significant asset;</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joint venture or licensing arrangement;</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Corporation restructuring;</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dividend policy, the declaration of a stock split or an offering of additional securities;</w:t>
      </w:r>
    </w:p>
    <w:p>
      <w:pPr>
        <w:spacing w:after="0" w:line="217" w:lineRule="exact"/>
        <w:rPr>
          <w:rFonts w:ascii="Times New Roman" w:cs="Times New Roman" w:eastAsia="Times New Roman" w:hAnsi="Times New Roman"/>
          <w:sz w:val="21"/>
          <w:szCs w:val="21"/>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borrowings or other financing transactions out of the ordinary course;</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repurchase program for Corporation Securities;</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marketing changes;</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management;</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the auditor’s reports may no longer be relied upon;</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of such litigation;</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entry into or renegotiation of a significant commercial agreement;</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regulatory developments;</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the existence of severe liquidity problems;</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payor or other third-party relationship;</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breach or incident; and</w:t>
      </w:r>
    </w:p>
    <w:p>
      <w:pPr>
        <w:spacing w:after="0" w:line="206"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4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imposition of a ban on trading in Corporation Securities or the securities of another company.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8" w:right="359" w:bottom="1440" w:gutter="0" w:footer="0" w:header="0"/>
        </w:sectPr>
      </w:pPr>
    </w:p>
    <w:bookmarkStart w:id="423" w:name="page424"/>
    <w:bookmarkEnd w:id="423"/>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Nonpublic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21"/>
          <w:szCs w:val="21"/>
          <w:color w:val="auto"/>
        </w:rPr>
        <w:t>Information that is not generally known or available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internet, radio or television programs, publication in a widely-available newspaper, magazine or news website or public disclosure documents filed with the Securities and Exchange Commission that are available on the Securities and Exchange Commission’s website. By contrast, information would generally not be considered widely disseminated if it is available only to the Corporation’s employees.</w:t>
      </w:r>
    </w:p>
    <w:p>
      <w:pPr>
        <w:spacing w:after="0" w:line="170"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Once information is widely disseminated, it is still necessary to afford the investing public sufficient time to absorb the information. As a general rule, information is considered nonpublic until the end of the first full trading day after the information is released. For example, if the Corporation announces material information after market close on Monday or before trading begins on a Tuesday, the first time a director, officer or employee can buy or sell Corporation Securities is the opening of the market on Wednesday (assuming she or he is not aware of other material nonpublic information at that time). However, if the Corporation announces material information after trading begins on that Tuesday, the first time a director, officer or employee can buy or sell Corporation Securities is the opening of the market on Thursday (again assuming she or he is not aware of other material nonpublic information at that time). Depending on the particular circumstances, the Corporation may determine that a longer or shorter period should apply to the release of specific material nonpublic information.</w:t>
      </w:r>
    </w:p>
    <w:p>
      <w:pPr>
        <w:spacing w:after="0" w:line="1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SECTION 8</w:t>
      </w:r>
    </w:p>
    <w:p>
      <w:pPr>
        <w:spacing w:after="0" w:line="20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UNDER CORPORATION PLANS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Policy does not apply in the case of the following transactions, except as specifically noted:</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Stock Option Exercises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This Policy does not apply to the exercise of a stock option acquired pursuant to a Corporation equity incentive plan or to a transaction in which a person has elected to have the Corporation withhold shares subject to an option award to satisfy tax withholding requirements. This Policy does, however, apply to any sale of shares as part of a broker-assisted cashless exercise of an option, or any other market sale for the purpose of generating the cash needed to pay the exercise price of or taxes associated with an option.</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u w:val="single" w:color="auto"/>
          <w:color w:val="auto"/>
        </w:rPr>
        <w:t>Restricted Stock and Similar Awards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This Policy does not apply to the vesting of restricted stock, the settlement of restricted stock units, or similar awards, or to a transaction in which there is an election to have the Corporation withhold shares to satisfy tax withholding requirements upon the vesting of any restricted stock or the vesting or settlement of any restricted stock unit. This Policy does apply,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22"/>
          <w:szCs w:val="22"/>
          <w:color w:val="auto"/>
        </w:rPr>
        <w:t>however, to any market sale of shares received upon settlement of any restricted stock unit or similar award.</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1"/>
          <w:szCs w:val="21"/>
          <w:u w:val="single" w:color="auto"/>
          <w:color w:val="auto"/>
        </w:rPr>
        <w:t>Employee Stock Purchase Plan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This Policy does not apply to periodic purchases under a Corporation employee stock purchase plan, if such plan then exists, that are made as the result of an election made at the beginning of the purchase period. This Policy would apply, however, to an initial decision to participate in the plan or a decision to increase the level of contribution in a subsequent purchase period. It would also apply to any sales of shares purchased under the plan.</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8.4</w:t>
      </w:r>
      <w:r>
        <w:rPr>
          <w:sz w:val="20"/>
          <w:szCs w:val="20"/>
          <w:color w:val="auto"/>
        </w:rPr>
        <w:tab/>
      </w:r>
      <w:r>
        <w:rPr>
          <w:rFonts w:ascii="Times New Roman" w:cs="Times New Roman" w:eastAsia="Times New Roman" w:hAnsi="Times New Roman"/>
          <w:sz w:val="21"/>
          <w:szCs w:val="21"/>
          <w:u w:val="single" w:color="auto"/>
          <w:color w:val="auto"/>
        </w:rPr>
        <w:t>401(k) Plan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This Policy does not apply to purchases of Corporation Securities in the Corporation’s 401(k) plan as a result of periodic contributions made pursuant to payroll deduction. The Policy does apply, however, to initial elections to participate, and increases or decreases in the level of participation, in a Corporation stock fund and transfers in or out of a Corporation stock fund (including in connection with a plan loan).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9</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WITH THE CORPORATION</w:t>
      </w:r>
    </w:p>
    <w:p>
      <w:pPr>
        <w:spacing w:after="0" w:line="21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Any purchase of Corporation Securities from the Corporation or sales of Corporation Securities to the Corporation not already identified in Section 8 are not subject to this Policy.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10</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NOT INVOLVING A PURCHASE OR SALE</w:t>
      </w:r>
    </w:p>
    <w:p>
      <w:pPr>
        <w:spacing w:after="0" w:line="210"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Bona fide gifts are not transactions subject to this Policy, unless the person making the gift has reason to believe that the recipient intends to sell the Corporation Securities while the officer, employee or director is aware of material nonpublic information.</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addition, transactions in mutual funds and other broad-based indices that are invested in Corporation Securities are not transactions subject to this Policy.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SPECIAL AND PROHBITED TRANSACTIONS</w:t>
      </w:r>
    </w:p>
    <w:p>
      <w:pPr>
        <w:spacing w:after="0" w:line="210"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The Corporation has determined that the following transactions present a heightened legal risk and the potential appearance of improper or inappropriate conduct. It is therefore the Corporation’s policy that the persons identified below may not engage in any of the following transactions: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Short-Term Trading</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5" w:name="page426"/>
    <w:bookmarkEnd w:id="425"/>
    <w:p>
      <w:pPr>
        <w:ind w:firstLine="749"/>
        <w:spacing w:after="0" w:line="238" w:lineRule="auto"/>
        <w:rPr>
          <w:sz w:val="20"/>
          <w:szCs w:val="20"/>
          <w:color w:val="auto"/>
        </w:rPr>
      </w:pPr>
      <w:r>
        <w:rPr>
          <w:rFonts w:ascii="Times New Roman" w:cs="Times New Roman" w:eastAsia="Times New Roman" w:hAnsi="Times New Roman"/>
          <w:sz w:val="22"/>
          <w:szCs w:val="22"/>
          <w:color w:val="auto"/>
        </w:rPr>
        <w:t>Short-term trading of Corporation Securities may be distracting to the person engaging in such trades and may unduly focus such person on the Corporation’s short-term performance instead of the Corporation’s long-term objectives. For these reasons, and in accordance with Section 16(b) under the Securities Exchange Act of 1934, as amended (the “Exchange Act”), any director or officer of the Corporation who purchases Corporation Securities may not sell any Corporation Securities of the same class during the six months following the purchase (or vice versa).</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Short sales of Corporation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the sale of a security that the seller does not own) may evidence an expectation on the part of the seller that the securities will decline in value and therefore have the potential to signal to the market that the seller lacks confidence in the Corporation’s prospects. In addition, short sales may reduce a seller’s incentive to seek to improve the Corporation’s performance. For these reasons, persons covered by this Policy are prohibited from engaging in any short sales of Corporation Securities. In addition, Section 16(c) of the Exchange Act prohibits executive officers and directors from engaging in certain short sales. Short sales arising from certain types of hedging transactions are also governed by the paragraph below captioned “Hedging Transactions.”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u w:val="single" w:color="auto"/>
          <w:color w:val="auto"/>
        </w:rPr>
        <w:t>Publicly Traded Options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Given the relatively short term of publicly traded options, transactions in options may create the appearance that a director, officer, or employee is trading based on material nonpublic information and focus such individual’s attention on short-term performance at the expense of the Corporation’s long-term objectives. Accordingly, persons covered by this Policy are prohibited from engaging in any transactions in put options, call options or other derivative securities on an exchange or in any other organized market.</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11.4</w:t>
      </w:r>
      <w:r>
        <w:rPr>
          <w:sz w:val="20"/>
          <w:szCs w:val="20"/>
          <w:color w:val="auto"/>
        </w:rPr>
        <w:tab/>
      </w:r>
      <w:r>
        <w:rPr>
          <w:rFonts w:ascii="Times New Roman" w:cs="Times New Roman" w:eastAsia="Times New Roman" w:hAnsi="Times New Roman"/>
          <w:sz w:val="21"/>
          <w:szCs w:val="21"/>
          <w:u w:val="single" w:color="auto"/>
          <w:color w:val="auto"/>
        </w:rPr>
        <w:t>Hedging Transactions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80" w:firstLine="749"/>
        <w:spacing w:after="0" w:line="236" w:lineRule="auto"/>
        <w:rPr>
          <w:sz w:val="20"/>
          <w:szCs w:val="20"/>
          <w:color w:val="auto"/>
        </w:rPr>
      </w:pPr>
      <w:r>
        <w:rPr>
          <w:rFonts w:ascii="Times New Roman" w:cs="Times New Roman" w:eastAsia="Times New Roman" w:hAnsi="Times New Roman"/>
          <w:sz w:val="22"/>
          <w:szCs w:val="22"/>
          <w:color w:val="auto"/>
        </w:rPr>
        <w:t>Hedging transactions can be accomplished through a number of possible mechanisms, including through the use of financial instruments such as prepaid variable forwards, equity swaps and collars. Such hedging transactions may permit a director, officer, or employee to continue to own Corporation Securities obtained through employee benefit plans or otherwise, but without the full risks and rewards of ownership. When that occurs, such individual may no longer have the same objectives as the Corporation’s other shareholders. Therefore, persons covered by this Policy are prohibited from engaging in any such transactions.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u w:val="single" w:color="auto"/>
          <w:color w:val="auto"/>
        </w:rPr>
        <w:t>Margin Accounts and Pledged Securities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Corporation Securities, persons covered by this Policy are prohibited from holding Corporation Securities in a margin account or otherwise pledging Corporation Securities as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26" w:name="page427"/>
    <w:bookmarkEnd w:id="426"/>
    <w:p>
      <w:pPr>
        <w:spacing w:after="0" w:line="238" w:lineRule="auto"/>
        <w:rPr>
          <w:sz w:val="20"/>
          <w:szCs w:val="20"/>
          <w:color w:val="auto"/>
        </w:rPr>
      </w:pPr>
      <w:r>
        <w:rPr>
          <w:rFonts w:ascii="Times New Roman" w:cs="Times New Roman" w:eastAsia="Times New Roman" w:hAnsi="Times New Roman"/>
          <w:sz w:val="22"/>
          <w:szCs w:val="22"/>
          <w:color w:val="auto"/>
        </w:rPr>
        <w:t>collateral for a loan. An exception may be granted where an individual wishes to pledge Corporation Securities as collateral for a loan (not including margin debt) and clearly demonstrates the financial capacity to repay the loan without resort to the pledged securities. If an individual wishes to pledge Corporation Securities as collateral for a loan, she or he must submit a request for approval to the Compliance Officer at least two weeks prior to the proposed execution of documents evidencing the proposed pledge.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11.6.  </w:t>
      </w:r>
      <w:r>
        <w:rPr>
          <w:rFonts w:ascii="Times New Roman" w:cs="Times New Roman" w:eastAsia="Times New Roman" w:hAnsi="Times New Roman"/>
          <w:sz w:val="22"/>
          <w:szCs w:val="22"/>
          <w:u w:val="single" w:color="auto"/>
          <w:color w:val="auto"/>
        </w:rPr>
        <w:t>Standing and Limit Orders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Standing and limit orders (except standing and limit orders under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Corporation therefore discourages placing standing or limit orders on Corporation Securities other than pursuant to Rule 10b5-1 Plans. If a person subject to this Policy determines that they must use a standing order or limit order (other than pursuant to an approved Rule 10b5-1 Plan), that person must contact the Compliance Officer for clearance to place the order.</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SECTION 12</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RULE 10B5-1 PLANS</w:t>
      </w:r>
    </w:p>
    <w:p>
      <w:pPr>
        <w:spacing w:after="0" w:line="210"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Rule 10b5-1 under the Exchange Act provides a defense from insider trading liability. In order to be eligible to rely on this defense, a person subject to this Policy must enter into a Rule 10b5-1 plan for transactions in Corporation Securities that meets certain conditions specified in the rule (a “</w:t>
      </w:r>
      <w:r>
        <w:rPr>
          <w:rFonts w:ascii="Times New Roman" w:cs="Times New Roman" w:eastAsia="Times New Roman" w:hAnsi="Times New Roman"/>
          <w:sz w:val="22"/>
          <w:szCs w:val="22"/>
          <w:u w:val="single" w:color="auto"/>
          <w:color w:val="auto"/>
        </w:rPr>
        <w:t>Rule 10b5-1 Plan</w:t>
      </w:r>
      <w:r>
        <w:rPr>
          <w:rFonts w:ascii="Times New Roman" w:cs="Times New Roman" w:eastAsia="Times New Roman" w:hAnsi="Times New Roman"/>
          <w:sz w:val="22"/>
          <w:szCs w:val="22"/>
          <w:color w:val="auto"/>
        </w:rPr>
        <w:t>”). If the plan meets the requirements of Rule 10b5-1, Corporation Securities may be purchased or sold without regard to certain insider trading restrictions. To comply with this Policy, a Rule 10b5-1 Plan must be approved by the Compliance Officer and meet the requirements of Rule 10b5-1. A Rule 10b5-1 Plan must be entered into at a time when the person entering into the plan is not aware of material nonpublic information. The plan must either specify the amount, pricing and timing of transactions in advance or delegate discretion on these matters to an independent third party and once the plan is adopted, the person must not exercise any influence over the amount of securities to be traded, the price at which they are to be traded or the date of the trade.</w:t>
      </w:r>
    </w:p>
    <w:p>
      <w:pPr>
        <w:spacing w:after="0" w:line="183" w:lineRule="exact"/>
        <w:rPr>
          <w:sz w:val="20"/>
          <w:szCs w:val="20"/>
          <w:color w:val="auto"/>
        </w:rPr>
      </w:pPr>
    </w:p>
    <w:p>
      <w:pPr>
        <w:jc w:val="both"/>
        <w:ind w:right="220" w:firstLine="749"/>
        <w:spacing w:after="0" w:line="244" w:lineRule="auto"/>
        <w:rPr>
          <w:sz w:val="20"/>
          <w:szCs w:val="20"/>
          <w:color w:val="auto"/>
        </w:rPr>
      </w:pPr>
      <w:r>
        <w:rPr>
          <w:rFonts w:ascii="Times New Roman" w:cs="Times New Roman" w:eastAsia="Times New Roman" w:hAnsi="Times New Roman"/>
          <w:sz w:val="22"/>
          <w:szCs w:val="22"/>
          <w:color w:val="auto"/>
        </w:rPr>
        <w:t>Rule 10b5-1 Plans will be considered by the Compliance Officer on a case-by-case basis. Any Rule 10b5-1 Plan must be submitted to the Compliance Officer for approval at least five days prior to the entry into the Rule 10b5-1 Plan. No further pre-approval of transactions conducted pursuant to the Rule 10b5-1 Plan will be required.</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SECTION 13</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TRADING WINDOW AND PRE-CLEARANCE PROCEDURES</w:t>
      </w:r>
    </w:p>
    <w:p>
      <w:pPr>
        <w:spacing w:after="0" w:line="210" w:lineRule="exact"/>
        <w:rPr>
          <w:sz w:val="20"/>
          <w:szCs w:val="20"/>
          <w:color w:val="auto"/>
        </w:rPr>
      </w:pPr>
    </w:p>
    <w:p>
      <w:pPr>
        <w:jc w:val="both"/>
        <w:ind w:right="220" w:firstLine="749"/>
        <w:spacing w:after="0" w:line="244" w:lineRule="auto"/>
        <w:rPr>
          <w:sz w:val="20"/>
          <w:szCs w:val="20"/>
          <w:color w:val="auto"/>
        </w:rPr>
      </w:pPr>
      <w:r>
        <w:rPr>
          <w:rFonts w:ascii="Times New Roman" w:cs="Times New Roman" w:eastAsia="Times New Roman" w:hAnsi="Times New Roman"/>
          <w:sz w:val="22"/>
          <w:szCs w:val="22"/>
          <w:color w:val="auto"/>
        </w:rPr>
        <w:t>To help prevent inadvertent violations of the federal securities laws and to avoid even the appearance of trading on the basis of inside information, the Board of Directors has adopted an Addendum to this Policy that applies to directors, executive officers subject to Section 16 of the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27" w:name="page428"/>
    <w:bookmarkEnd w:id="427"/>
    <w:p>
      <w:pPr>
        <w:ind w:right="60"/>
        <w:spacing w:after="0" w:line="258" w:lineRule="auto"/>
        <w:rPr>
          <w:sz w:val="20"/>
          <w:szCs w:val="20"/>
          <w:color w:val="auto"/>
        </w:rPr>
      </w:pPr>
      <w:r>
        <w:rPr>
          <w:rFonts w:ascii="Times New Roman" w:cs="Times New Roman" w:eastAsia="Times New Roman" w:hAnsi="Times New Roman"/>
          <w:sz w:val="22"/>
          <w:szCs w:val="22"/>
          <w:color w:val="auto"/>
        </w:rPr>
        <w:t>Exchange Act, and other persons designed by the Compliance Officer who have regular access to material nonpublic information about the Corporation. The Corporation will notify those individuals who are subject to the Addendum.</w:t>
      </w:r>
    </w:p>
    <w:p>
      <w:pPr>
        <w:spacing w:after="0" w:line="158"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The Addendum generally prohibits persons and entities covered by it from trading in Corporation Securities, except during the trading windows specified in the Addendum. Directors, executive officers subject to Section 16 of the Exchange Act and other designated persons also must pre-clear all transactions in Corporation Securities with the Compliance Officer.</w:t>
      </w:r>
    </w:p>
    <w:p>
      <w:pPr>
        <w:spacing w:after="0" w:line="173"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In addition, from time to time, the Corporation may be involved in activities—such as proposed acquisitions—that are material and that are known only by a few people at the Corporation. For those individuals whose duties at the Corporation cause them to be aware of such activity, the Compliance Officer will notify them of an event-specific trading restriction and they will not be permitted to trade in Corporation Securities during such trading restriction. The existence of an event-specific trading restriction will not be widely announced and should not be communicated to anyone. Even if individuals are not notified of an event-specific trading restriction, they should not trade in Corporation Securities if they are aware of material nonpublic information.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14</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10" w:lineRule="exact"/>
        <w:rPr>
          <w:sz w:val="20"/>
          <w:szCs w:val="20"/>
          <w:color w:val="auto"/>
        </w:rPr>
      </w:pPr>
    </w:p>
    <w:p>
      <w:pPr>
        <w:jc w:val="both"/>
        <w:ind w:right="860" w:firstLine="749"/>
        <w:spacing w:after="0" w:line="261" w:lineRule="auto"/>
        <w:rPr>
          <w:sz w:val="20"/>
          <w:szCs w:val="20"/>
          <w:color w:val="auto"/>
        </w:rPr>
      </w:pPr>
      <w:r>
        <w:rPr>
          <w:rFonts w:ascii="Times New Roman" w:cs="Times New Roman" w:eastAsia="Times New Roman" w:hAnsi="Times New Roman"/>
          <w:sz w:val="21"/>
          <w:szCs w:val="21"/>
          <w:color w:val="auto"/>
        </w:rPr>
        <w:t>This Policy continues to apply to transactions in Corporation Securities even after termination of service to the Corporation. If an individual is in possession of material nonpublic information when her or his service terminates, that individual may not trade in Corporation Securities until that information has become public or is no longer material.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15</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CONSEQUENCES OF VIOLATIONS</w:t>
      </w:r>
    </w:p>
    <w:p>
      <w:pPr>
        <w:spacing w:after="0" w:line="210" w:lineRule="exact"/>
        <w:rPr>
          <w:sz w:val="20"/>
          <w:szCs w:val="20"/>
          <w:color w:val="auto"/>
        </w:rPr>
      </w:pPr>
    </w:p>
    <w:p>
      <w:pPr>
        <w:ind w:right="60" w:firstLine="749"/>
        <w:spacing w:after="0" w:line="248" w:lineRule="auto"/>
        <w:rPr>
          <w:sz w:val="20"/>
          <w:szCs w:val="20"/>
          <w:color w:val="auto"/>
        </w:rPr>
      </w:pPr>
      <w:r>
        <w:rPr>
          <w:rFonts w:ascii="Times New Roman" w:cs="Times New Roman" w:eastAsia="Times New Roman" w:hAnsi="Times New Roman"/>
          <w:sz w:val="21"/>
          <w:szCs w:val="21"/>
          <w:color w:val="auto"/>
        </w:rPr>
        <w:t>The purchase or sale of securities while aware of material nonpublic information, or the disclosure of material nonpublic information to others who then trade in the Corporation’s Securities, is prohibited by U.S. federal and state laws. Insider trading violations are pursued vigorously by the Securities and Exchange Commission, U.S. Attorneys and state enforcement authorities as well as foreign regulatory authorities.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7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In addition, an individual’s failure to comply with this Policy may subject the individual to Corporation-imposed sanctions, including dismissal for cause, whether or not the employee’s failure to comply results in a violation of law. In addition to the formal sanctions summarized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8" w:name="page429"/>
    <w:bookmarkEnd w:id="428"/>
    <w:p>
      <w:pPr>
        <w:spacing w:after="0" w:line="258" w:lineRule="auto"/>
        <w:rPr>
          <w:sz w:val="20"/>
          <w:szCs w:val="20"/>
          <w:color w:val="auto"/>
        </w:rPr>
      </w:pPr>
      <w:r>
        <w:rPr>
          <w:rFonts w:ascii="Times New Roman" w:cs="Times New Roman" w:eastAsia="Times New Roman" w:hAnsi="Times New Roman"/>
          <w:sz w:val="22"/>
          <w:szCs w:val="22"/>
          <w:color w:val="auto"/>
        </w:rPr>
        <w:t>above, a violation of law, or even a Securities and Exchange Commission investigation that does not result in prosecution, can tarnish a person’s reputation and irreparably damage a career.</w:t>
      </w:r>
    </w:p>
    <w:p>
      <w:pPr>
        <w:spacing w:after="0" w:line="1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SECTION 16</w:t>
      </w: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CORPORATION ASSISTANCE</w:t>
      </w:r>
    </w:p>
    <w:p>
      <w:pPr>
        <w:spacing w:after="0" w:line="21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Any person who has a question about this Policy or its application to any proposed transaction may obtain additional guidance from the Compliance Officer at ryan.pardo@lifestance.com or by phone at (800) 308-0994.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Effective: January 31,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08" w:right="659" w:bottom="1440" w:gutter="0" w:footer="0" w:header="0"/>
        </w:sectPr>
      </w:pPr>
    </w:p>
    <w:bookmarkStart w:id="429" w:name="page430"/>
    <w:bookmarkEnd w:id="42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ADDENDUM TO INSIDER TRADING POLICY</w:t>
      </w:r>
    </w:p>
    <w:p>
      <w:pPr>
        <w:spacing w:after="0" w:line="210" w:lineRule="exact"/>
        <w:rPr>
          <w:sz w:val="20"/>
          <w:szCs w:val="20"/>
          <w:color w:val="auto"/>
        </w:rPr>
      </w:pPr>
    </w:p>
    <w:p>
      <w:pPr>
        <w:ind w:firstLine="432"/>
        <w:spacing w:after="0" w:line="235" w:lineRule="auto"/>
        <w:rPr>
          <w:sz w:val="20"/>
          <w:szCs w:val="20"/>
          <w:color w:val="auto"/>
        </w:rPr>
      </w:pPr>
      <w:r>
        <w:rPr>
          <w:rFonts w:ascii="Times New Roman" w:cs="Times New Roman" w:eastAsia="Times New Roman" w:hAnsi="Times New Roman"/>
          <w:sz w:val="22"/>
          <w:szCs w:val="22"/>
          <w:color w:val="auto"/>
        </w:rPr>
        <w:t>The Corporation has established additional procedures to assist in the administration of the Insider Trading Policy, to facilitate compliance with laws prohibiting insider trading while in possession of material nonpublic information and to avoid the appearance of any impropriety. These additional procedures are applicable only to directors, executive officers subject to Section 16 of the Exchange Act, and other persons who are periodically designated by the Compliance Officer as being subject to these additional procedures (as well as their family members, household members and entities whose transactions are subject to the Insider Trading Policy) (collectively, “Covered Persons”). The Compliance Officer will notify those individuals who are subject to this Addendum.</w:t>
      </w:r>
    </w:p>
    <w:p>
      <w:pPr>
        <w:spacing w:after="0" w:line="183" w:lineRule="exact"/>
        <w:rPr>
          <w:sz w:val="20"/>
          <w:szCs w:val="20"/>
          <w:color w:val="auto"/>
        </w:rPr>
      </w:pPr>
    </w:p>
    <w:p>
      <w:pPr>
        <w:ind w:right="40" w:firstLine="432"/>
        <w:spacing w:after="0" w:line="239" w:lineRule="auto"/>
        <w:rPr>
          <w:sz w:val="20"/>
          <w:szCs w:val="20"/>
          <w:color w:val="auto"/>
        </w:rPr>
      </w:pPr>
      <w:r>
        <w:rPr>
          <w:rFonts w:ascii="Times New Roman" w:cs="Times New Roman" w:eastAsia="Times New Roman" w:hAnsi="Times New Roman"/>
          <w:sz w:val="22"/>
          <w:szCs w:val="22"/>
          <w:color w:val="auto"/>
        </w:rPr>
        <w:t>In all cases, the responsibility for determining whether an individual is in possession of material nonpublic information rests with that individual, and any action on the part of the Corporation, the Compliance Officer, or any other employee or director pursuant to the Insider Trading Policy, including this Addendum (or otherwise) does not in any way constitute legal advice or insulate an individual from liability under applicable securities 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PROCEDURES</w:t>
      </w:r>
    </w:p>
    <w:p>
      <w:pPr>
        <w:spacing w:after="0" w:line="210"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Covered Persons may not engage in any transaction in Corporation Securities at any time (other than as specified by the Insider Trading Policy, including this Addendum), even if not subject to a Blackout Period, without first obtaining pre-clearance of the transaction from the Compliance Officer. A request for pre-clearance should be submitted to the Compliance Officer at least two trading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she or he should refrain from initiating any transaction in Corporation Securities, and should not inform any other person of the restriction.</w:t>
      </w:r>
    </w:p>
    <w:p>
      <w:pPr>
        <w:spacing w:after="0" w:line="183"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When a request for pre-clearance is made, the requestor should carefully consider whether she or he may be aware of any material nonpublic information about the Corporation and should describe fully those circumstances to the Compliance Officer. The requestor should also indicate whether she or he has effected any non-exempt “opposite-way” transactions within the past six months, and should be prepared to report the proposed transaction on an appropriate Form 4 or Form 5, if applicable. The requestor should also be prepared to comply with Rule 144 under the Securities Act of 1933, as amended, and file a Form 144, if necessary, at the time of any sale. After receiving clearance to engage in a trade from the Compliance Officer, the requestor must complete the proposed trade within two trading days or make a new trading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1870075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430" w:name="page431"/>
    <w:bookmarkEnd w:id="43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QUARTERLY TRADING RESTRICTIONS</w:t>
      </w:r>
    </w:p>
    <w:p>
      <w:pPr>
        <w:spacing w:after="0" w:line="21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Covered Persons may not engage in any transaction in Corporation Securities (other than as specified by the Insider Trading Policy, including this Addendum) during a “blackout period” beginning two weeks prior to the end of each fiscal quarter and ending after the first full trading day following the date of the public release of the Corporation’s earnings results for that quarter. In other words, these persons may only conduct transactions in Corporation Securities during the “window period” beginning on the day after the first full trading day following the public release of the Corporation’s quarterly earnings and ending two weeks prior to the close of the next fiscal quarter.</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EVENT-SPECIFIC TRADING RESTRICTIONS</w:t>
      </w:r>
    </w:p>
    <w:p>
      <w:pPr>
        <w:spacing w:after="0" w:line="210"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Corporation and is known by only a few directors, executive officers and/or employees. So long as the event remains material and nonpublic, such persons as designated by the Compliance Officer, or her or his delegate may not trade Corporation Securities. In addition, the Corporation’s financial results may be sufficiently material in a particular fiscal quarter that, in the judgment of the Compliance Officer, designated persons should refrain from trading in Corporation Securities prior to the commencement of the Blackout Period. In that situation, the Compliance Officer may notify these persons that they should not trade in the Corporation’s Securities without disclosing the reason for the restriction. The existence of an event-specific trading restriction period or extension of a Blackout Period will not be announced to the Corporation as a whole, and should not be communicated to any other person. Even if the Compliance Officer has not designated you as a person who should not trade due to an event-specific trading restriction, you should not trade while aware of material nonpublic information.</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EXCEPTIONS</w:t>
      </w:r>
    </w:p>
    <w:p>
      <w:pPr>
        <w:spacing w:after="0" w:line="210" w:lineRule="exact"/>
        <w:rPr>
          <w:sz w:val="20"/>
          <w:szCs w:val="20"/>
          <w:color w:val="auto"/>
        </w:rPr>
      </w:pPr>
    </w:p>
    <w:p>
      <w:pPr>
        <w:ind w:right="240" w:firstLine="749"/>
        <w:spacing w:after="0" w:line="251" w:lineRule="auto"/>
        <w:rPr>
          <w:sz w:val="20"/>
          <w:szCs w:val="20"/>
          <w:color w:val="auto"/>
        </w:rPr>
      </w:pPr>
      <w:r>
        <w:rPr>
          <w:rFonts w:ascii="Times New Roman" w:cs="Times New Roman" w:eastAsia="Times New Roman" w:hAnsi="Times New Roman"/>
          <w:sz w:val="21"/>
          <w:szCs w:val="21"/>
          <w:color w:val="auto"/>
        </w:rPr>
        <w:t>The quarterly trading restrictions and event-specific trading restrictions described above do not apply to those transactions to which the Insider Trading Policy does not apply, as described in the Insider Trading Policy under the headings “Transactions Under Corporation Plans” and “Transactions with the Corporation.” Further, the requirement for pre-clearance, the quarterly trading restrictions and event-specific trading restrictions do not apply to transactions conducted pursuant to approved Rule 10b5-1 Plans, described in the Insider Trading Policy under the heading “Rule 10b5-1 Plans.”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Effective: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1303655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52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44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LifeStance Health Group, Inc.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LifeStance TopCo, L.P.</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LifeStance TopCo, L.P.</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LifeStance Ultimate Holdings, Inc.</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LifeStance Ultimate Holdings, Inc.</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Lynnwood Intermediate Holdings, Inc.</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Lynnwood Intermediate Holdings, Inc.</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LifeStance Health Holdings, Inc.</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LifeStance Health Holdings, Inc.</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LifeStance Health, Inc.</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LifeStance Health, Inc.</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Women's Health, LLC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Oklahoma</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LifeStance Health – Arizona, LLC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Orlando Behavioral Healthcare Corporation</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Carmel Psych Management Services, LLC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Commonwealth Counseling Associates, Inc.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Behavioral Health Practice Services, LLC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Psychological &amp; Behavioral Consultants, LLC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Recovery Network, LLC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Anxiety and Stress Management Institute, LLC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Counseling Center of Nashua, Inc.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Hampshire</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LHM MASS, Inc.</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Ascendant Behavioral Health, LLC</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Utah</w:t>
            </w:r>
          </w:p>
        </w:tc>
      </w:tr>
      <w:tr>
        <w:trPr>
          <w:trHeight w:val="414"/>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LHM MASS, Inc.</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LifeStance Health Management Massachusetts, LLC</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Behavioral Health Practice Services, LLC</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Portrait Health Properties, Inc.</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979"/>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2" w:name="page433"/>
    <w:bookmarkEnd w:id="43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333-257086, 333-263653, 333-270403 and 333-277473) and the Registration Statement on Form S-3ASR (No. 333-279585) of LifeStance Health Group, Inc. of our report dated February 27, 2025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3" w:name="page434"/>
    <w:bookmarkEnd w:id="4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Burdick, certify that:</w:t>
      </w:r>
    </w:p>
    <w:p>
      <w:pPr>
        <w:spacing w:after="0" w:line="225" w:lineRule="exact"/>
        <w:rPr>
          <w:sz w:val="20"/>
          <w:szCs w:val="20"/>
          <w:color w:val="auto"/>
        </w:rPr>
      </w:pPr>
    </w:p>
    <w:p>
      <w:pPr>
        <w:ind w:left="520" w:hanging="512"/>
        <w:spacing w:after="0"/>
        <w:tabs>
          <w:tab w:leader="none" w:pos="52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LifeStance Health Group,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Burdick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Kenneth Burdick</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4" w:name="page435"/>
    <w:bookmarkEnd w:id="4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Bourdon, certify that:</w:t>
      </w:r>
    </w:p>
    <w:p>
      <w:pPr>
        <w:spacing w:after="0" w:line="225" w:lineRule="exact"/>
        <w:rPr>
          <w:sz w:val="20"/>
          <w:szCs w:val="20"/>
          <w:color w:val="auto"/>
        </w:rPr>
      </w:pPr>
    </w:p>
    <w:p>
      <w:pPr>
        <w:ind w:left="520" w:hanging="512"/>
        <w:spacing w:after="0"/>
        <w:tabs>
          <w:tab w:leader="none" w:pos="52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LifeStance Health Group,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Bourdon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Bourdon</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LifeStance Health Group, Inc. (the “Company”) on Form 10-K for the period ending December 31, 2024, as filed with the Securities and Exchange Commission on the date hereof (the “Report”), I, Kenneth Burdick, Chief Executive Officer of LifeStance Health Group, Inc., certify, pursuant to 18 U.S.C. § 1350, as adopted pursuant to § 906 of the Sarbanes-Oxley Act of 2002, that to the best of my knowledge:</w:t>
      </w:r>
    </w:p>
    <w:p>
      <w:pPr>
        <w:spacing w:after="0" w:line="158" w:lineRule="exact"/>
        <w:rPr>
          <w:sz w:val="20"/>
          <w:szCs w:val="20"/>
          <w:color w:val="auto"/>
        </w:rPr>
      </w:pPr>
    </w:p>
    <w:p>
      <w:pPr>
        <w:ind w:left="1020" w:hanging="503"/>
        <w:spacing w:after="0"/>
        <w:tabs>
          <w:tab w:leader="none" w:pos="102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Burdick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Kenneth Burdick</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6" w:name="page437"/>
    <w:bookmarkEnd w:id="4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LifeStance Health Group, Inc. (the “Company”) on Form 10-K for the period ending December 31, 2024, as filed with the Securities and Exchange Commission on the date hereof (the “Report”), I, David Bourdon, Chief Financial Officer and Treasurer of LifeStance Health Group, Inc., certify, pursuant to 18 U.S.C. § 1350, as adopted pursuant to § 906 of the Sarbanes-Oxley Act of 2002, that to the best of my knowledge:</w:t>
      </w:r>
    </w:p>
    <w:p>
      <w:pPr>
        <w:spacing w:after="0" w:line="180" w:lineRule="exact"/>
        <w:rPr>
          <w:sz w:val="20"/>
          <w:szCs w:val="20"/>
          <w:color w:val="auto"/>
        </w:rPr>
      </w:pPr>
    </w:p>
    <w:p>
      <w:pPr>
        <w:ind w:left="1020" w:hanging="503"/>
        <w:spacing w:after="0"/>
        <w:tabs>
          <w:tab w:leader="none" w:pos="102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Bourdon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Bourdon</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7" w:name="page438"/>
    <w:bookmarkEnd w:id="4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03D76D"/>
    <w:multiLevelType w:val="hybridMultilevel"/>
    <w:lvl w:ilvl="0">
      <w:lvlJc w:val="left"/>
      <w:lvlText w:val="☒"/>
      <w:numFmt w:val="bullet"/>
      <w:start w:val="1"/>
    </w:lvl>
  </w:abstractNum>
  <w:abstractNum w:abstractNumId="1">
    <w:nsid w:val="66A48D11"/>
    <w:multiLevelType w:val="hybridMultilevel"/>
    <w:lvl w:ilvl="0">
      <w:lvlJc w:val="left"/>
      <w:lvlText w:val="☐"/>
      <w:numFmt w:val="bullet"/>
      <w:start w:val="1"/>
    </w:lvl>
  </w:abstractNum>
  <w:abstractNum w:abstractNumId="2">
    <w:nsid w:val="56C28E34"/>
    <w:multiLevelType w:val="hybridMultilevel"/>
    <w:lvl w:ilvl="0">
      <w:lvlJc w:val="left"/>
      <w:lvlText w:val="•"/>
      <w:numFmt w:val="bullet"/>
      <w:start w:val="1"/>
    </w:lvl>
  </w:abstractNum>
  <w:abstractNum w:abstractNumId="3">
    <w:nsid w:val="13916F2D"/>
    <w:multiLevelType w:val="hybridMultilevel"/>
    <w:lvl w:ilvl="0">
      <w:lvlJc w:val="left"/>
      <w:lvlText w:val="•"/>
      <w:numFmt w:val="bullet"/>
      <w:start w:val="1"/>
    </w:lvl>
  </w:abstractNum>
  <w:abstractNum w:abstractNumId="4">
    <w:nsid w:val="435D38D"/>
    <w:multiLevelType w:val="hybridMultilevel"/>
    <w:lvl w:ilvl="0">
      <w:lvlJc w:val="left"/>
      <w:lvlText w:val="•"/>
      <w:numFmt w:val="bullet"/>
      <w:start w:val="1"/>
    </w:lvl>
  </w:abstractNum>
  <w:abstractNum w:abstractNumId="5">
    <w:nsid w:val="822C0EF"/>
    <w:multiLevelType w:val="hybridMultilevel"/>
    <w:lvl w:ilvl="0">
      <w:lvlJc w:val="left"/>
      <w:lvlText w:val="•"/>
      <w:numFmt w:val="bullet"/>
      <w:start w:val="1"/>
    </w:lvl>
  </w:abstractNum>
  <w:abstractNum w:abstractNumId="6">
    <w:nsid w:val="57C5BB4F"/>
    <w:multiLevelType w:val="hybridMultilevel"/>
    <w:lvl w:ilvl="0">
      <w:lvlJc w:val="left"/>
      <w:lvlText w:val="•"/>
      <w:numFmt w:val="bullet"/>
      <w:start w:val="1"/>
    </w:lvl>
  </w:abstractNum>
  <w:abstractNum w:abstractNumId="7">
    <w:nsid w:val="1803D089"/>
    <w:multiLevelType w:val="hybridMultilevel"/>
    <w:lvl w:ilvl="0">
      <w:lvlJc w:val="left"/>
      <w:lvlText w:val="•"/>
      <w:numFmt w:val="bullet"/>
      <w:start w:val="1"/>
    </w:lvl>
  </w:abstractNum>
  <w:abstractNum w:abstractNumId="8">
    <w:nsid w:val="4F3A06D4"/>
    <w:multiLevelType w:val="hybridMultilevel"/>
    <w:lvl w:ilvl="0">
      <w:lvlJc w:val="left"/>
      <w:lvlText w:val="•"/>
      <w:numFmt w:val="bullet"/>
      <w:start w:val="1"/>
    </w:lvl>
  </w:abstractNum>
  <w:abstractNum w:abstractNumId="9">
    <w:nsid w:val="59A377B6"/>
    <w:multiLevelType w:val="hybridMultilevel"/>
    <w:lvl w:ilvl="0">
      <w:lvlJc w:val="left"/>
      <w:lvlText w:val="•"/>
      <w:numFmt w:val="bullet"/>
      <w:start w:val="1"/>
    </w:lvl>
  </w:abstractNum>
  <w:abstractNum w:abstractNumId="10">
    <w:nsid w:val="48AEB063"/>
    <w:multiLevelType w:val="hybridMultilevel"/>
    <w:lvl w:ilvl="0">
      <w:lvlJc w:val="left"/>
      <w:lvlText w:val="•"/>
      <w:numFmt w:val="bullet"/>
      <w:start w:val="1"/>
    </w:lvl>
  </w:abstractNum>
  <w:abstractNum w:abstractNumId="11">
    <w:nsid w:val="24E135"/>
    <w:multiLevelType w:val="hybridMultilevel"/>
    <w:lvl w:ilvl="0">
      <w:lvlJc w:val="left"/>
      <w:lvlText w:val="•"/>
      <w:numFmt w:val="bullet"/>
      <w:start w:val="1"/>
    </w:lvl>
  </w:abstractNum>
  <w:abstractNum w:abstractNumId="12">
    <w:nsid w:val="BB13C1"/>
    <w:multiLevelType w:val="hybridMultilevel"/>
    <w:lvl w:ilvl="0">
      <w:lvlJc w:val="left"/>
      <w:lvlText w:val="•"/>
      <w:numFmt w:val="bullet"/>
      <w:start w:val="1"/>
    </w:lvl>
  </w:abstractNum>
  <w:abstractNum w:abstractNumId="13">
    <w:nsid w:val="271210C7"/>
    <w:multiLevelType w:val="hybridMultilevel"/>
    <w:lvl w:ilvl="0">
      <w:lvlJc w:val="left"/>
      <w:lvlText w:val="•"/>
      <w:numFmt w:val="bullet"/>
      <w:start w:val="1"/>
    </w:lvl>
  </w:abstractNum>
  <w:abstractNum w:abstractNumId="14">
    <w:nsid w:val="217B22E4"/>
    <w:multiLevelType w:val="hybridMultilevel"/>
    <w:lvl w:ilvl="0">
      <w:lvlJc w:val="left"/>
      <w:lvlText w:val="•"/>
      <w:numFmt w:val="bullet"/>
      <w:start w:val="1"/>
    </w:lvl>
  </w:abstractNum>
  <w:abstractNum w:abstractNumId="15">
    <w:nsid w:val="53E31A24"/>
    <w:multiLevelType w:val="hybridMultilevel"/>
    <w:lvl w:ilvl="0">
      <w:lvlJc w:val="left"/>
      <w:lvlText w:val="•"/>
      <w:numFmt w:val="bullet"/>
      <w:start w:val="1"/>
    </w:lvl>
  </w:abstractNum>
  <w:abstractNum w:abstractNumId="16">
    <w:nsid w:val="6DC45E83"/>
    <w:multiLevelType w:val="hybridMultilevel"/>
    <w:lvl w:ilvl="0">
      <w:lvlJc w:val="left"/>
      <w:lvlText w:val="•"/>
      <w:numFmt w:val="bullet"/>
      <w:start w:val="1"/>
    </w:lvl>
  </w:abstractNum>
  <w:abstractNum w:abstractNumId="17">
    <w:nsid w:val="17304A67"/>
    <w:multiLevelType w:val="hybridMultilevel"/>
    <w:lvl w:ilvl="0">
      <w:lvlJc w:val="left"/>
      <w:lvlText w:val="•"/>
      <w:numFmt w:val="bullet"/>
      <w:start w:val="1"/>
    </w:lvl>
  </w:abstractNum>
  <w:abstractNum w:abstractNumId="18">
    <w:nsid w:val="2BB180D8"/>
    <w:multiLevelType w:val="hybridMultilevel"/>
    <w:lvl w:ilvl="0">
      <w:lvlJc w:val="left"/>
      <w:lvlText w:val="•"/>
      <w:numFmt w:val="bullet"/>
      <w:start w:val="1"/>
    </w:lvl>
  </w:abstractNum>
  <w:abstractNum w:abstractNumId="19">
    <w:nsid w:val="556B69ED"/>
    <w:multiLevelType w:val="hybridMultilevel"/>
    <w:lvl w:ilvl="0">
      <w:lvlJc w:val="left"/>
      <w:lvlText w:val="•"/>
      <w:numFmt w:val="bullet"/>
      <w:start w:val="1"/>
    </w:lvl>
  </w:abstractNum>
  <w:abstractNum w:abstractNumId="20">
    <w:nsid w:val="70836196"/>
    <w:multiLevelType w:val="hybridMultilevel"/>
    <w:lvl w:ilvl="0">
      <w:lvlJc w:val="left"/>
      <w:lvlText w:val="•"/>
      <w:numFmt w:val="bullet"/>
      <w:start w:val="1"/>
    </w:lvl>
  </w:abstractNum>
  <w:abstractNum w:abstractNumId="21">
    <w:nsid w:val="539F7F12"/>
    <w:multiLevelType w:val="hybridMultilevel"/>
    <w:lvl w:ilvl="0">
      <w:lvlJc w:val="left"/>
      <w:lvlText w:val="•"/>
      <w:numFmt w:val="bullet"/>
      <w:start w:val="1"/>
    </w:lvl>
  </w:abstractNum>
  <w:abstractNum w:abstractNumId="22">
    <w:nsid w:val="2817E7EC"/>
    <w:multiLevelType w:val="hybridMultilevel"/>
    <w:lvl w:ilvl="0">
      <w:lvlJc w:val="left"/>
      <w:lvlText w:val="•"/>
      <w:numFmt w:val="bullet"/>
      <w:start w:val="1"/>
    </w:lvl>
  </w:abstractNum>
  <w:abstractNum w:abstractNumId="23">
    <w:nsid w:val="71482545"/>
    <w:multiLevelType w:val="hybridMultilevel"/>
    <w:lvl w:ilvl="0">
      <w:lvlJc w:val="left"/>
      <w:lvlText w:val="•"/>
      <w:numFmt w:val="bullet"/>
      <w:start w:val="1"/>
    </w:lvl>
  </w:abstractNum>
  <w:abstractNum w:abstractNumId="24">
    <w:nsid w:val="17D78639"/>
    <w:multiLevelType w:val="hybridMultilevel"/>
    <w:lvl w:ilvl="0">
      <w:lvlJc w:val="left"/>
      <w:lvlText w:val="•"/>
      <w:numFmt w:val="bullet"/>
      <w:start w:val="1"/>
    </w:lvl>
  </w:abstractNum>
  <w:abstractNum w:abstractNumId="25">
    <w:nsid w:val="141D2302"/>
    <w:multiLevelType w:val="hybridMultilevel"/>
    <w:lvl w:ilvl="0">
      <w:lvlJc w:val="left"/>
      <w:lvlText w:val="•"/>
      <w:numFmt w:val="bullet"/>
      <w:start w:val="1"/>
    </w:lvl>
  </w:abstractNum>
  <w:abstractNum w:abstractNumId="26">
    <w:nsid w:val="407168D8"/>
    <w:multiLevelType w:val="hybridMultilevel"/>
    <w:lvl w:ilvl="0">
      <w:lvlJc w:val="left"/>
      <w:lvlText w:val="•"/>
      <w:numFmt w:val="bullet"/>
      <w:start w:val="1"/>
    </w:lvl>
  </w:abstractNum>
  <w:abstractNum w:abstractNumId="27">
    <w:nsid w:val="6A1B45E5"/>
    <w:multiLevelType w:val="hybridMultilevel"/>
    <w:lvl w:ilvl="0">
      <w:lvlJc w:val="left"/>
      <w:lvlText w:val="•"/>
      <w:numFmt w:val="bullet"/>
      <w:start w:val="1"/>
    </w:lvl>
  </w:abstractNum>
  <w:abstractNum w:abstractNumId="28">
    <w:nsid w:val="567BD50A"/>
    <w:multiLevelType w:val="hybridMultilevel"/>
    <w:lvl w:ilvl="0">
      <w:lvlJc w:val="left"/>
      <w:lvlText w:val="(%1)"/>
      <w:numFmt w:val="decimal"/>
      <w:start w:val="1"/>
    </w:lvl>
  </w:abstractNum>
  <w:abstractNum w:abstractNumId="29">
    <w:nsid w:val="73BBD7F8"/>
    <w:multiLevelType w:val="hybridMultilevel"/>
    <w:lvl w:ilvl="0">
      <w:lvlJc w:val="left"/>
      <w:lvlText w:val="•"/>
      <w:numFmt w:val="bullet"/>
      <w:start w:val="1"/>
    </w:lvl>
  </w:abstractNum>
  <w:abstractNum w:abstractNumId="30">
    <w:nsid w:val="1876589D"/>
    <w:multiLevelType w:val="hybridMultilevel"/>
    <w:lvl w:ilvl="0">
      <w:lvlJc w:val="left"/>
      <w:lvlText w:val="(%1)"/>
      <w:numFmt w:val="decimal"/>
      <w:start w:val="1"/>
    </w:lvl>
  </w:abstractNum>
  <w:abstractNum w:abstractNumId="31">
    <w:nsid w:val="327FAC77"/>
    <w:multiLevelType w:val="hybridMultilevel"/>
    <w:lvl w:ilvl="0">
      <w:lvlJc w:val="left"/>
      <w:lvlText w:val="(%1)"/>
      <w:numFmt w:val="decimal"/>
      <w:start w:val="3"/>
    </w:lvl>
  </w:abstractNum>
  <w:abstractNum w:abstractNumId="32">
    <w:nsid w:val="5A606509"/>
    <w:multiLevelType w:val="hybridMultilevel"/>
    <w:lvl w:ilvl="0">
      <w:lvlJc w:val="left"/>
      <w:lvlText w:val="(%1)"/>
      <w:numFmt w:val="decimal"/>
      <w:start w:val="1"/>
    </w:lvl>
  </w:abstractNum>
  <w:abstractNum w:abstractNumId="33">
    <w:nsid w:val="6F38E6D1"/>
    <w:multiLevelType w:val="hybridMultilevel"/>
    <w:lvl w:ilvl="0">
      <w:lvlJc w:val="left"/>
      <w:lvlText w:val="•"/>
      <w:numFmt w:val="bullet"/>
      <w:start w:val="1"/>
    </w:lvl>
  </w:abstractNum>
  <w:abstractNum w:abstractNumId="34">
    <w:nsid w:val="46111BA5"/>
    <w:multiLevelType w:val="hybridMultilevel"/>
    <w:lvl w:ilvl="0">
      <w:lvlJc w:val="left"/>
      <w:lvlText w:val="•"/>
      <w:numFmt w:val="bullet"/>
      <w:start w:val="1"/>
    </w:lvl>
  </w:abstractNum>
  <w:abstractNum w:abstractNumId="35">
    <w:nsid w:val="5E963896"/>
    <w:multiLevelType w:val="hybridMultilevel"/>
    <w:lvl w:ilvl="0">
      <w:lvlJc w:val="left"/>
      <w:lvlText w:val="•"/>
      <w:numFmt w:val="bullet"/>
      <w:start w:val="1"/>
    </w:lvl>
  </w:abstractNum>
  <w:abstractNum w:abstractNumId="36">
    <w:nsid w:val="775BA7C1"/>
    <w:multiLevelType w:val="hybridMultilevel"/>
    <w:lvl w:ilvl="0">
      <w:lvlJc w:val="left"/>
      <w:lvlText w:val="•"/>
      <w:numFmt w:val="bullet"/>
      <w:start w:val="1"/>
    </w:lvl>
  </w:abstractNum>
  <w:abstractNum w:abstractNumId="37">
    <w:nsid w:val="1DD6D6F4"/>
    <w:multiLevelType w:val="hybridMultilevel"/>
    <w:lvl w:ilvl="0">
      <w:lvlJc w:val="left"/>
      <w:lvlText w:val="•"/>
      <w:numFmt w:val="bullet"/>
      <w:start w:val="1"/>
    </w:lvl>
  </w:abstractNum>
  <w:abstractNum w:abstractNumId="38">
    <w:nsid w:val="769A091F"/>
    <w:multiLevelType w:val="hybridMultilevel"/>
    <w:lvl w:ilvl="0">
      <w:lvlJc w:val="left"/>
      <w:lvlText w:val="(%1)"/>
      <w:numFmt w:val="lowerLetter"/>
      <w:start w:val="1"/>
    </w:lvl>
  </w:abstractNum>
  <w:abstractNum w:abstractNumId="39">
    <w:nsid w:val="4695AE95"/>
    <w:multiLevelType w:val="hybridMultilevel"/>
    <w:lvl w:ilvl="0">
      <w:lvlJc w:val="left"/>
      <w:lvlText w:val="%1."/>
      <w:numFmt w:val="decimal"/>
      <w:start w:val="1"/>
    </w:lvl>
  </w:abstractNum>
  <w:abstractNum w:abstractNumId="40">
    <w:nsid w:val="777A4EAA"/>
    <w:multiLevelType w:val="hybridMultilevel"/>
    <w:lvl w:ilvl="0">
      <w:lvlJc w:val="left"/>
      <w:lvlText w:val="(%1)"/>
      <w:numFmt w:val="lowerLetter"/>
      <w:start w:val="2"/>
    </w:lvl>
  </w:abstractNum>
  <w:abstractNum w:abstractNumId="41">
    <w:nsid w:val="3F48B982"/>
    <w:multiLevelType w:val="hybridMultilevel"/>
    <w:lvl w:ilvl="0">
      <w:lvlJc w:val="left"/>
      <w:lvlText w:val="+"/>
      <w:numFmt w:val="bullet"/>
      <w:start w:val="1"/>
    </w:lvl>
    <w:lvl w:ilvl="1">
      <w:lvlJc w:val="left"/>
      <w:lvlText w:val="%2"/>
      <w:numFmt w:val="decimal"/>
      <w:start w:val="104"/>
    </w:lvl>
  </w:abstractNum>
  <w:abstractNum w:abstractNumId="42">
    <w:nsid w:val="46BA8FCA"/>
    <w:multiLevelType w:val="hybridMultilevel"/>
    <w:lvl w:ilvl="0">
      <w:lvlJc w:val="left"/>
      <w:lvlText w:val="•"/>
      <w:numFmt w:val="bullet"/>
      <w:start w:val="1"/>
    </w:lvl>
  </w:abstractNum>
  <w:abstractNum w:abstractNumId="43">
    <w:nsid w:val="7835626C"/>
    <w:multiLevelType w:val="hybridMultilevel"/>
    <w:lvl w:ilvl="0">
      <w:lvlJc w:val="left"/>
      <w:lvlText w:val="(%1)"/>
      <w:numFmt w:val="decimal"/>
      <w:start w:val="1"/>
    </w:lvl>
  </w:abstractNum>
  <w:abstractNum w:abstractNumId="44">
    <w:nsid w:val="665ACA49"/>
    <w:multiLevelType w:val="hybridMultilevel"/>
    <w:lvl w:ilvl="0">
      <w:lvlJc w:val="left"/>
      <w:lvlText w:val="(%1)"/>
      <w:numFmt w:val="lowerRoman"/>
      <w:start w:val="2"/>
    </w:lvl>
  </w:abstractNum>
  <w:abstractNum w:abstractNumId="45">
    <w:nsid w:val="6835B2AE"/>
    <w:multiLevelType w:val="hybridMultilevel"/>
    <w:lvl w:ilvl="0">
      <w:lvlJc w:val="left"/>
      <w:lvlText w:val="(%1)"/>
      <w:numFmt w:val="lowerRoman"/>
      <w:start w:val="1"/>
    </w:lvl>
  </w:abstractNum>
  <w:abstractNum w:abstractNumId="46">
    <w:nsid w:val="4C187C90"/>
    <w:multiLevelType w:val="hybridMultilevel"/>
    <w:lvl w:ilvl="0">
      <w:lvlJc w:val="left"/>
      <w:lvlText w:val="C"/>
      <w:numFmt w:val="bullet"/>
      <w:start w:val="1"/>
    </w:lvl>
  </w:abstractNum>
  <w:abstractNum w:abstractNumId="47">
    <w:nsid w:val="541F28CD"/>
    <w:multiLevelType w:val="hybridMultilevel"/>
    <w:lvl w:ilvl="0">
      <w:lvlJc w:val="left"/>
      <w:lvlText w:val="E"/>
      <w:numFmt w:val="bullet"/>
      <w:start w:val="1"/>
    </w:lvl>
  </w:abstractNum>
  <w:abstractNum w:abstractNumId="48">
    <w:nsid w:val="7F65FD16"/>
    <w:multiLevelType w:val="hybridMultilevel"/>
    <w:lvl w:ilvl="0">
      <w:lvlJc w:val="left"/>
      <w:lvlText w:val="F"/>
      <w:numFmt w:val="bullet"/>
      <w:start w:val="1"/>
    </w:lvl>
  </w:abstractNum>
  <w:abstractNum w:abstractNumId="49">
    <w:nsid w:val="77C9FD68"/>
    <w:multiLevelType w:val="hybridMultilevel"/>
    <w:lvl w:ilvl="0">
      <w:lvlJc w:val="left"/>
      <w:lvlText w:val="I"/>
      <w:numFmt w:val="bullet"/>
      <w:start w:val="1"/>
    </w:lvl>
  </w:abstractNum>
  <w:abstractNum w:abstractNumId="50">
    <w:nsid w:val="298A92BA"/>
    <w:multiLevelType w:val="hybridMultilevel"/>
    <w:lvl w:ilvl="0">
      <w:lvlJc w:val="left"/>
      <w:lvlText w:val="J"/>
      <w:numFmt w:val="bullet"/>
      <w:start w:val="1"/>
    </w:lvl>
  </w:abstractNum>
  <w:abstractNum w:abstractNumId="51">
    <w:nsid w:val="6FE95EAC"/>
    <w:multiLevelType w:val="hybridMultilevel"/>
    <w:lvl w:ilvl="0">
      <w:lvlJc w:val="left"/>
      <w:lvlText w:val="(%1)"/>
      <w:numFmt w:val="decimal"/>
      <w:start w:val="1"/>
    </w:lvl>
  </w:abstractNum>
  <w:abstractNum w:abstractNumId="52">
    <w:nsid w:val="4B697C7A"/>
    <w:multiLevelType w:val="hybridMultilevel"/>
    <w:lvl w:ilvl="0">
      <w:lvlJc w:val="left"/>
      <w:lvlText w:val="(%1)"/>
      <w:numFmt w:val="decimal"/>
      <w:start w:val="1"/>
    </w:lvl>
  </w:abstractNum>
  <w:abstractNum w:abstractNumId="53">
    <w:nsid w:val="51A27AA6"/>
    <w:multiLevelType w:val="hybridMultilevel"/>
    <w:lvl w:ilvl="0">
      <w:lvlJc w:val="left"/>
      <w:lvlText w:val="(%1)"/>
      <w:numFmt w:val="decimal"/>
      <w:start w:val="2"/>
    </w:lvl>
  </w:abstractNum>
  <w:abstractNum w:abstractNumId="54">
    <w:nsid w:val="613183F2"/>
    <w:multiLevelType w:val="hybridMultilevel"/>
    <w:lvl w:ilvl="0">
      <w:lvlJc w:val="left"/>
      <w:lvlText w:val="(%1)"/>
      <w:numFmt w:val="decimal"/>
      <w:start w:val="1"/>
    </w:lvl>
  </w:abstractNum>
  <w:abstractNum w:abstractNumId="55">
    <w:nsid w:val="634102B4"/>
    <w:multiLevelType w:val="hybridMultilevel"/>
    <w:lvl w:ilvl="0">
      <w:lvlJc w:val="left"/>
      <w:lvlText w:val="(%1)"/>
      <w:numFmt w:val="lowerLetter"/>
      <w:start w:val="1"/>
    </w:lvl>
    <w:lvl w:ilvl="1">
      <w:lvlJc w:val="left"/>
      <w:lvlText w:val="(%2)"/>
      <w:numFmt w:val="lowerRoman"/>
      <w:start w:val="1"/>
    </w:lvl>
  </w:abstractNum>
  <w:abstractNum w:abstractNumId="56">
    <w:nsid w:val="65BF9DA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57">
    <w:nsid w:val="21A2ECC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8">
    <w:nsid w:val="4D5C4899"/>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59">
    <w:nsid w:val="3C3B72B2"/>
    <w:multiLevelType w:val="hybridMultilevel"/>
    <w:lvl w:ilvl="0">
      <w:lvlJc w:val="left"/>
      <w:lvlText w:val="(%1)"/>
      <w:numFmt w:val="lowerLetter"/>
      <w:start w:val="9"/>
    </w:lvl>
  </w:abstractNum>
  <w:abstractNum w:abstractNumId="60">
    <w:nsid w:val="155EC4C2"/>
    <w:multiLevelType w:val="hybridMultilevel"/>
    <w:lvl w:ilvl="0">
      <w:lvlJc w:val="left"/>
      <w:lvlText w:val="(%1)"/>
      <w:numFmt w:val="lowerLetter"/>
      <w:start w:val="20"/>
    </w:lvl>
  </w:abstractNum>
  <w:abstractNum w:abstractNumId="61">
    <w:nsid w:val="65D2A137"/>
    <w:multiLevelType w:val="hybridMultilevel"/>
    <w:lvl w:ilvl="0">
      <w:lvlJc w:val="left"/>
      <w:lvlText w:val="(%1)"/>
      <w:numFmt w:val="lowerLetter"/>
      <w:start w:val="27"/>
    </w:lvl>
  </w:abstractNum>
  <w:abstractNum w:abstractNumId="62">
    <w:nsid w:val="6EBB1F2A"/>
    <w:multiLevelType w:val="hybridMultilevel"/>
    <w:lvl w:ilvl="0">
      <w:lvlJc w:val="left"/>
      <w:lvlText w:val="(%1)"/>
      <w:numFmt w:val="lowerRoman"/>
      <w:start w:val="10"/>
    </w:lvl>
  </w:abstractNum>
  <w:abstractNum w:abstractNumId="63">
    <w:nsid w:val="6FBF29CB"/>
    <w:multiLevelType w:val="hybridMultilevel"/>
    <w:lvl w:ilvl="0">
      <w:lvlJc w:val="left"/>
      <w:lvlText w:val="(%1)"/>
      <w:numFmt w:val="decimal"/>
      <w:start w:val="1"/>
    </w:lvl>
  </w:abstractNum>
  <w:abstractNum w:abstractNumId="64">
    <w:nsid w:val="550B8808"/>
    <w:multiLevelType w:val="hybridMultilevel"/>
    <w:lvl w:ilvl="0">
      <w:lvlJc w:val="left"/>
      <w:lvlText w:val="(%1)"/>
      <w:numFmt w:val="decimal"/>
      <w:start w:val="1"/>
    </w:lvl>
  </w:abstractNum>
  <w:abstractNum w:abstractNumId="65">
    <w:nsid w:val="34CC3ACF"/>
    <w:multiLevelType w:val="hybridMultilevel"/>
    <w:lvl w:ilvl="0">
      <w:lvlJc w:val="left"/>
      <w:lvlText w:val="(%1)"/>
      <w:numFmt w:val="decimal"/>
      <w:start w:val="1"/>
    </w:lvl>
  </w:abstractNum>
  <w:abstractNum w:abstractNumId="66">
    <w:nsid w:val="4E556261"/>
    <w:multiLevelType w:val="hybridMultilevel"/>
    <w:lvl w:ilvl="0">
      <w:lvlJc w:val="left"/>
      <w:lvlText w:val="(%1)"/>
      <w:numFmt w:val="decimal"/>
      <w:start w:val="1"/>
    </w:lvl>
  </w:abstractNum>
  <w:abstractNum w:abstractNumId="67">
    <w:nsid w:val="4C672FC9"/>
    <w:multiLevelType w:val="hybridMultilevel"/>
    <w:lvl w:ilvl="0">
      <w:lvlJc w:val="left"/>
      <w:lvlText w:val="%1"/>
      <w:numFmt w:val="decimal"/>
      <w:start w:val="1"/>
    </w:lvl>
    <w:lvl w:ilvl="1">
      <w:lvlJc w:val="left"/>
      <w:lvlText w:val="(%2)"/>
      <w:numFmt w:val="decimal"/>
      <w:start w:val="10"/>
    </w:lvl>
  </w:abstractNum>
  <w:abstractNum w:abstractNumId="68">
    <w:nsid w:val="52A311C3"/>
    <w:multiLevelType w:val="hybridMultilevel"/>
    <w:lvl w:ilvl="0">
      <w:lvlJc w:val="left"/>
      <w:lvlText w:val="(%1)"/>
      <w:numFmt w:val="decimal"/>
      <w:start w:val="13"/>
    </w:lvl>
    <w:lvl w:ilvl="1">
      <w:lvlJc w:val="left"/>
      <w:lvlText w:val="(%2)"/>
      <w:numFmt w:val="decimal"/>
      <w:start w:val="15"/>
    </w:lvl>
  </w:abstractNum>
  <w:abstractNum w:abstractNumId="69">
    <w:nsid w:val="44EF6B80"/>
    <w:multiLevelType w:val="hybridMultilevel"/>
    <w:lvl w:ilvl="0">
      <w:lvlJc w:val="left"/>
      <w:lvlText w:val="(%1)"/>
      <w:numFmt w:val="decimal"/>
      <w:start w:val="2"/>
    </w:lvl>
  </w:abstractNum>
  <w:abstractNum w:abstractNumId="70">
    <w:nsid w:val="12FCDE5E"/>
    <w:multiLevelType w:val="hybridMultilevel"/>
    <w:lvl w:ilvl="0">
      <w:lvlJc w:val="left"/>
      <w:lvlText w:val="(%1)"/>
      <w:numFmt w:val="decimal"/>
      <w:start w:val="1"/>
    </w:lvl>
  </w:abstractNum>
  <w:abstractNum w:abstractNumId="71">
    <w:nsid w:val="4A1D606E"/>
    <w:multiLevelType w:val="hybridMultilevel"/>
    <w:lvl w:ilvl="0">
      <w:lvlJc w:val="left"/>
      <w:lvlText w:val="(%1)"/>
      <w:numFmt w:val="decimal"/>
      <w:start w:val="2"/>
    </w:lvl>
  </w:abstractNum>
  <w:abstractNum w:abstractNumId="72">
    <w:nsid w:val="4382503"/>
    <w:multiLevelType w:val="hybridMultilevel"/>
    <w:lvl w:ilvl="0">
      <w:lvlJc w:val="left"/>
      <w:lvlText w:val="(%1)"/>
      <w:numFmt w:val="decimal"/>
      <w:start w:val="1"/>
    </w:lvl>
  </w:abstractNum>
  <w:abstractNum w:abstractNumId="73">
    <w:nsid w:val="59B76E2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4">
    <w:nsid w:val="4252C2D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5">
    <w:nsid w:val="6A92EF4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6">
    <w:nsid w:val="41ED20D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7">
    <w:nsid w:val="E6B3F6A"/>
    <w:multiLevelType w:val="hybridMultilevel"/>
    <w:lvl w:ilvl="0">
      <w:lvlJc w:val="left"/>
      <w:lvlText w:val="(%1)"/>
      <w:numFmt w:val="upperLetter"/>
      <w:start w:val="3"/>
    </w:lvl>
  </w:abstractNum>
  <w:abstractNum w:abstractNumId="78">
    <w:nsid w:val="3EB21819"/>
    <w:multiLevelType w:val="hybridMultilevel"/>
    <w:lvl w:ilvl="0">
      <w:lvlJc w:val="left"/>
      <w:lvlText w:val="(%1)"/>
      <w:numFmt w:val="decimal"/>
      <w:start w:val="1"/>
    </w:lvl>
  </w:abstractNum>
  <w:abstractNum w:abstractNumId="79">
    <w:nsid w:val="41531DED"/>
    <w:multiLevelType w:val="hybridMultilevel"/>
    <w:lvl w:ilvl="0">
      <w:lvlJc w:val="left"/>
      <w:lvlText w:val="(%1)"/>
      <w:numFmt w:val="decimal"/>
      <w:start w:val="1"/>
    </w:lvl>
    <w:lvl w:ilvl="1">
      <w:lvlJc w:val="left"/>
      <w:lvlText w:val="(%2)"/>
      <w:numFmt w:val="lowerLetter"/>
      <w:start w:val="1"/>
    </w:lvl>
  </w:abstractNum>
  <w:abstractNum w:abstractNumId="80">
    <w:nsid w:val="6353CD2"/>
    <w:multiLevelType w:val="hybridMultilevel"/>
    <w:lvl w:ilvl="0">
      <w:lvlJc w:val="left"/>
      <w:lvlText w:val="(%1)"/>
      <w:numFmt w:val="lowerLetter"/>
      <w:start w:val="3"/>
    </w:lvl>
  </w:abstractNum>
  <w:abstractNum w:abstractNumId="81">
    <w:nsid w:val="683CAAD3"/>
    <w:multiLevelType w:val="hybridMultilevel"/>
    <w:lvl w:ilvl="0">
      <w:lvlJc w:val="left"/>
      <w:lvlText w:val="(%1)"/>
      <w:numFmt w:val="lowerLetter"/>
      <w:start w:val="9"/>
    </w:lvl>
  </w:abstractNum>
  <w:abstractNum w:abstractNumId="82">
    <w:nsid w:val="313C7C99"/>
    <w:multiLevelType w:val="hybridMultilevel"/>
    <w:lvl w:ilvl="0">
      <w:lvlJc w:val="left"/>
      <w:lvlText w:val="%1"/>
      <w:numFmt w:val="lowerLetter"/>
      <w:start w:val="1"/>
    </w:lvl>
    <w:lvl w:ilvl="1">
      <w:lvlJc w:val="left"/>
      <w:lvlText w:val="(%2)"/>
      <w:numFmt w:val="lowerLetter"/>
      <w:start w:val="15"/>
    </w:lvl>
  </w:abstractNum>
  <w:abstractNum w:abstractNumId="83">
    <w:nsid w:val="519EB94C"/>
    <w:multiLevelType w:val="hybridMultilevel"/>
    <w:lvl w:ilvl="0">
      <w:lvlJc w:val="left"/>
      <w:lvlText w:val="(%1)"/>
      <w:numFmt w:val="lowerLetter"/>
      <w:start w:val="16"/>
    </w:lvl>
    <w:lvl w:ilvl="1">
      <w:lvlJc w:val="left"/>
      <w:lvlText w:val="%2"/>
      <w:numFmt w:val="lowerLetter"/>
      <w:start w:val="1"/>
    </w:lvl>
  </w:abstractNum>
  <w:abstractNum w:abstractNumId="84">
    <w:nsid w:val="39DF2579"/>
    <w:multiLevelType w:val="hybridMultilevel"/>
    <w:lvl w:ilvl="0">
      <w:lvlJc w:val="left"/>
      <w:lvlText w:val="(%1)"/>
      <w:numFmt w:val="decimal"/>
      <w:start w:val="2"/>
    </w:lvl>
    <w:lvl w:ilvl="1">
      <w:lvlJc w:val="left"/>
      <w:lvlText w:val="(%2)"/>
      <w:numFmt w:val="lowerLetter"/>
      <w:start w:val="1"/>
    </w:lvl>
  </w:abstractNum>
  <w:abstractNum w:abstractNumId="85">
    <w:nsid w:val="126E008B"/>
    <w:multiLevelType w:val="hybridMultilevel"/>
    <w:lvl w:ilvl="0">
      <w:lvlJc w:val="left"/>
      <w:lvlText w:val="(%1)"/>
      <w:numFmt w:val="decimal"/>
      <w:start w:val="1"/>
    </w:lvl>
  </w:abstractNum>
  <w:abstractNum w:abstractNumId="86">
    <w:nsid w:val="34DFBC00"/>
    <w:multiLevelType w:val="hybridMultilevel"/>
    <w:lvl w:ilvl="0">
      <w:lvlJc w:val="left"/>
      <w:lvlText w:val="(%1)"/>
      <w:numFmt w:val="decimal"/>
      <w:start w:val="9"/>
    </w:lvl>
  </w:abstractNum>
  <w:abstractNum w:abstractNumId="87">
    <w:nsid w:val="1F9EC322"/>
    <w:multiLevelType w:val="hybridMultilevel"/>
    <w:lvl w:ilvl="0">
      <w:lvlJc w:val="left"/>
      <w:lvlText w:val="(%1)"/>
      <w:numFmt w:val="decimal"/>
      <w:start w:val="1"/>
    </w:lvl>
  </w:abstractNum>
  <w:abstractNum w:abstractNumId="88">
    <w:nsid w:val="3410ED56"/>
    <w:multiLevelType w:val="hybridMultilevel"/>
    <w:lvl w:ilvl="0">
      <w:lvlJc w:val="left"/>
      <w:lvlText w:val="(%1)"/>
      <w:numFmt w:val="decimal"/>
      <w:start w:val="2"/>
    </w:lvl>
  </w:abstractNum>
  <w:abstractNum w:abstractNumId="89">
    <w:nsid w:val="23C049A"/>
    <w:multiLevelType w:val="hybridMultilevel"/>
    <w:lvl w:ilvl="0">
      <w:lvlJc w:val="left"/>
      <w:lvlText w:val="(%1)"/>
      <w:numFmt w:val="decimal"/>
      <w:start w:val="11"/>
    </w:lvl>
  </w:abstractNum>
  <w:abstractNum w:abstractNumId="90">
    <w:nsid w:val="5BDA35D4"/>
    <w:multiLevelType w:val="hybridMultilevel"/>
    <w:lvl w:ilvl="0">
      <w:lvlJc w:val="left"/>
      <w:lvlText w:val="(%1)"/>
      <w:numFmt w:val="decimal"/>
      <w:start w:val="1"/>
    </w:lvl>
    <w:lvl w:ilvl="1">
      <w:lvlJc w:val="left"/>
      <w:lvlText w:val="(%2)"/>
      <w:numFmt w:val="lowerLetter"/>
      <w:start w:val="1"/>
    </w:lvl>
  </w:abstractNum>
  <w:abstractNum w:abstractNumId="91">
    <w:nsid w:val="496FB218"/>
    <w:multiLevelType w:val="hybridMultilevel"/>
    <w:lvl w:ilvl="0">
      <w:lvlJc w:val="left"/>
      <w:lvlText w:val="(%1)"/>
      <w:numFmt w:val="decimal"/>
      <w:start w:val="1"/>
    </w:lvl>
  </w:abstractNum>
  <w:abstractNum w:abstractNumId="92">
    <w:nsid w:val="680EA5D1"/>
    <w:multiLevelType w:val="hybridMultilevel"/>
    <w:lvl w:ilvl="0">
      <w:lvlJc w:val="left"/>
      <w:lvlText w:val="(%1)"/>
      <w:numFmt w:val="decimal"/>
      <w:start w:val="3"/>
    </w:lvl>
  </w:abstractNum>
  <w:abstractNum w:abstractNumId="93">
    <w:nsid w:val="4A9554FE"/>
    <w:multiLevelType w:val="hybridMultilevel"/>
    <w:lvl w:ilvl="0">
      <w:lvlJc w:val="left"/>
      <w:lvlText w:val="(%1)"/>
      <w:numFmt w:val="lowerLetter"/>
      <w:start w:val="2"/>
    </w:lvl>
  </w:abstractNum>
  <w:abstractNum w:abstractNumId="94">
    <w:nsid w:val="392EDBE4"/>
    <w:multiLevelType w:val="hybridMultilevel"/>
    <w:lvl w:ilvl="0">
      <w:lvlJc w:val="left"/>
      <w:lvlText w:val="(%1)"/>
      <w:numFmt w:val="decimal"/>
      <w:start w:val="1"/>
    </w:lvl>
  </w:abstractNum>
  <w:abstractNum w:abstractNumId="95">
    <w:nsid w:val="3D1A2DD9"/>
    <w:multiLevelType w:val="hybridMultilevel"/>
    <w:lvl w:ilvl="0">
      <w:lvlJc w:val="left"/>
      <w:lvlText w:val="(%1)"/>
      <w:numFmt w:val="decimal"/>
      <w:start w:val="1"/>
    </w:lvl>
  </w:abstractNum>
  <w:abstractNum w:abstractNumId="96">
    <w:nsid w:val="7F618FCD"/>
    <w:multiLevelType w:val="hybridMultilevel"/>
    <w:lvl w:ilvl="0">
      <w:lvlJc w:val="left"/>
      <w:lvlText w:val="(%1)"/>
      <w:numFmt w:val="decimal"/>
      <w:start w:val="5"/>
    </w:lvl>
  </w:abstractNum>
  <w:abstractNum w:abstractNumId="97">
    <w:nsid w:val="7843E45"/>
    <w:multiLevelType w:val="hybridMultilevel"/>
    <w:lvl w:ilvl="0">
      <w:lvlJc w:val="left"/>
      <w:lvlText w:val="(%1)"/>
      <w:numFmt w:val="decimal"/>
      <w:start w:val="1"/>
    </w:lvl>
  </w:abstractNum>
  <w:abstractNum w:abstractNumId="98">
    <w:nsid w:val="9815DA3"/>
    <w:multiLevelType w:val="hybridMultilevel"/>
    <w:lvl w:ilvl="0">
      <w:lvlJc w:val="left"/>
      <w:lvlText w:val="(%1)"/>
      <w:numFmt w:val="decimal"/>
      <w:start w:val="1"/>
    </w:lvl>
  </w:abstractNum>
  <w:abstractNum w:abstractNumId="99">
    <w:nsid w:val="5204A191"/>
    <w:multiLevelType w:val="hybridMultilevel"/>
    <w:lvl w:ilvl="0">
      <w:lvlJc w:val="left"/>
      <w:lvlText w:val="(%1)"/>
      <w:numFmt w:val="decimal"/>
      <w:start w:val="6"/>
    </w:lvl>
  </w:abstractNum>
  <w:abstractNum w:abstractNumId="100">
    <w:nsid w:val="4C73A9C6"/>
    <w:multiLevelType w:val="hybridMultilevel"/>
    <w:lvl w:ilvl="0">
      <w:lvlJc w:val="left"/>
      <w:lvlText w:val="(%1)"/>
      <w:numFmt w:val="decimal"/>
      <w:start w:val="1"/>
    </w:lvl>
  </w:abstractNum>
  <w:abstractNum w:abstractNumId="101">
    <w:nsid w:val="1C7E3C01"/>
    <w:multiLevelType w:val="hybridMultilevel"/>
    <w:lvl w:ilvl="0">
      <w:lvlJc w:val="left"/>
      <w:lvlText w:val="(%1)"/>
      <w:numFmt w:val="decimal"/>
      <w:start w:val="2"/>
    </w:lvl>
  </w:abstractNum>
  <w:abstractNum w:abstractNumId="102">
    <w:nsid w:val="1C2201FF"/>
    <w:multiLevelType w:val="hybridMultilevel"/>
    <w:lvl w:ilvl="0">
      <w:lvlJc w:val="left"/>
      <w:lvlText w:val="(%1)"/>
      <w:numFmt w:val="lowerLetter"/>
      <w:start w:val="3"/>
    </w:lvl>
  </w:abstractNum>
  <w:abstractNum w:abstractNumId="103">
    <w:nsid w:val="50ABCEC9"/>
    <w:multiLevelType w:val="hybridMultilevel"/>
    <w:lvl w:ilvl="0">
      <w:lvlJc w:val="left"/>
      <w:lvlText w:val="(%1)"/>
      <w:numFmt w:val="decimal"/>
      <w:start w:val="1"/>
    </w:lvl>
    <w:lvl w:ilvl="1">
      <w:lvlJc w:val="left"/>
      <w:lvlText w:val="(%2)"/>
      <w:numFmt w:val="lowerLetter"/>
      <w:start w:val="1"/>
    </w:lvl>
  </w:abstractNum>
  <w:abstractNum w:abstractNumId="104">
    <w:nsid w:val="7635AA2A"/>
    <w:multiLevelType w:val="hybridMultilevel"/>
    <w:lvl w:ilvl="0">
      <w:lvlJc w:val="left"/>
      <w:lvlText w:val="(%1)"/>
      <w:numFmt w:val="lowerLetter"/>
      <w:start w:val="2"/>
    </w:lvl>
  </w:abstractNum>
  <w:abstractNum w:abstractNumId="105">
    <w:nsid w:val="5E74C4D9"/>
    <w:multiLevelType w:val="hybridMultilevel"/>
    <w:lvl w:ilvl="0">
      <w:lvlJc w:val="left"/>
      <w:lvlText w:val="(%1)"/>
      <w:numFmt w:val="decimal"/>
      <w:start w:val="2"/>
    </w:lvl>
    <w:lvl w:ilvl="1">
      <w:lvlJc w:val="left"/>
      <w:lvlText w:val="(%2)"/>
      <w:numFmt w:val="lowerRoman"/>
      <w:start w:val="1"/>
    </w:lvl>
  </w:abstractNum>
  <w:abstractNum w:abstractNumId="106">
    <w:nsid w:val="3B3EBE15"/>
    <w:multiLevelType w:val="hybridMultilevel"/>
    <w:lvl w:ilvl="0">
      <w:lvlJc w:val="left"/>
      <w:lvlText w:val="(%1)"/>
      <w:numFmt w:val="lowerRoman"/>
      <w:start w:val="4"/>
    </w:lvl>
  </w:abstractNum>
  <w:abstractNum w:abstractNumId="107">
    <w:nsid w:val="3822CB01"/>
    <w:multiLevelType w:val="hybridMultilevel"/>
    <w:lvl w:ilvl="0">
      <w:lvlJc w:val="left"/>
      <w:lvlText w:val="(%1)"/>
      <w:numFmt w:val="decimal"/>
      <w:start w:val="1"/>
    </w:lvl>
  </w:abstractNum>
  <w:abstractNum w:abstractNumId="108">
    <w:nsid w:val="6CE00443"/>
    <w:multiLevelType w:val="hybridMultilevel"/>
    <w:lvl w:ilvl="0">
      <w:lvlJc w:val="left"/>
      <w:lvlText w:val="(%1)"/>
      <w:numFmt w:val="decimal"/>
      <w:start w:val="3"/>
    </w:lvl>
  </w:abstractNum>
  <w:abstractNum w:abstractNumId="109">
    <w:nsid w:val="79F0D62F"/>
    <w:multiLevelType w:val="hybridMultilevel"/>
    <w:lvl w:ilvl="0">
      <w:lvlJc w:val="left"/>
      <w:lvlText w:val="(%1)"/>
      <w:numFmt w:val="decimal"/>
      <w:start w:val="1"/>
    </w:lvl>
  </w:abstractNum>
  <w:abstractNum w:abstractNumId="110">
    <w:nsid w:val="7975E8EE"/>
    <w:multiLevelType w:val="hybridMultilevel"/>
    <w:lvl w:ilvl="0">
      <w:lvlJc w:val="left"/>
      <w:lvlText w:val="(%1)"/>
      <w:numFmt w:val="decimal"/>
      <w:start w:val="1"/>
    </w:lvl>
  </w:abstractNum>
  <w:abstractNum w:abstractNumId="111">
    <w:nsid w:val="73154115"/>
    <w:multiLevelType w:val="hybridMultilevel"/>
    <w:lvl w:ilvl="0">
      <w:lvlJc w:val="left"/>
      <w:lvlText w:val="(%1)"/>
      <w:numFmt w:val="lowerLetter"/>
      <w:start w:val="1"/>
    </w:lvl>
  </w:abstractNum>
  <w:abstractNum w:abstractNumId="112">
    <w:nsid w:val="622D8102"/>
    <w:multiLevelType w:val="hybridMultilevel"/>
    <w:lvl w:ilvl="0">
      <w:lvlJc w:val="left"/>
      <w:lvlText w:val="(%1)"/>
      <w:numFmt w:val="decimal"/>
      <w:start w:val="2"/>
    </w:lvl>
  </w:abstractNum>
  <w:abstractNum w:abstractNumId="113">
    <w:nsid w:val="2AB26587"/>
    <w:multiLevelType w:val="hybridMultilevel"/>
    <w:lvl w:ilvl="0">
      <w:lvlJc w:val="left"/>
      <w:lvlText w:val="(%1)"/>
      <w:numFmt w:val="lowerLetter"/>
      <w:start w:val="2"/>
    </w:lvl>
  </w:abstractNum>
  <w:abstractNum w:abstractNumId="114">
    <w:nsid w:val="44B3FA61"/>
    <w:multiLevelType w:val="hybridMultilevel"/>
    <w:lvl w:ilvl="0">
      <w:lvlJc w:val="left"/>
      <w:lvlText w:val="(%1)"/>
      <w:numFmt w:val="decimal"/>
      <w:start w:val="60"/>
    </w:lvl>
  </w:abstractNum>
  <w:abstractNum w:abstractNumId="115">
    <w:nsid w:val="1C0CA67C"/>
    <w:multiLevelType w:val="hybridMultilevel"/>
    <w:lvl w:ilvl="0">
      <w:lvlJc w:val="left"/>
      <w:lvlText w:val="(%1)"/>
      <w:numFmt w:val="decimal"/>
      <w:start w:val="4"/>
    </w:lvl>
  </w:abstractNum>
  <w:abstractNum w:abstractNumId="116">
    <w:nsid w:val="3D206613"/>
    <w:multiLevelType w:val="hybridMultilevel"/>
    <w:lvl w:ilvl="0">
      <w:lvlJc w:val="left"/>
      <w:lvlText w:val="(%1)"/>
      <w:numFmt w:val="decimal"/>
      <w:start w:val="1"/>
    </w:lvl>
  </w:abstractNum>
  <w:abstractNum w:abstractNumId="117">
    <w:nsid w:val="7993B662"/>
    <w:multiLevelType w:val="hybridMultilevel"/>
    <w:lvl w:ilvl="0">
      <w:lvlJc w:val="left"/>
      <w:lvlText w:val="(%1)"/>
      <w:numFmt w:val="decimal"/>
      <w:start w:val="2"/>
    </w:lvl>
  </w:abstractNum>
  <w:abstractNum w:abstractNumId="118">
    <w:nsid w:val="3BAB699E"/>
    <w:multiLevelType w:val="hybridMultilevel"/>
    <w:lvl w:ilvl="0">
      <w:lvlJc w:val="left"/>
      <w:lvlText w:val="(%1)"/>
      <w:numFmt w:val="decimal"/>
      <w:start w:val="1"/>
    </w:lvl>
  </w:abstractNum>
  <w:abstractNum w:abstractNumId="119">
    <w:nsid w:val="71315369"/>
    <w:multiLevelType w:val="hybridMultilevel"/>
    <w:lvl w:ilvl="0">
      <w:lvlJc w:val="left"/>
      <w:lvlText w:val="(%1)"/>
      <w:numFmt w:val="decimal"/>
      <w:start w:val="1"/>
    </w:lvl>
  </w:abstractNum>
  <w:abstractNum w:abstractNumId="120">
    <w:nsid w:val="7BCFBAFC"/>
    <w:multiLevelType w:val="hybridMultilevel"/>
    <w:lvl w:ilvl="0">
      <w:lvlJc w:val="left"/>
      <w:lvlText w:val="(%1)"/>
      <w:numFmt w:val="decimal"/>
      <w:start w:val="1"/>
    </w:lvl>
  </w:abstractNum>
  <w:abstractNum w:abstractNumId="121">
    <w:nsid w:val="17859F72"/>
    <w:multiLevelType w:val="hybridMultilevel"/>
    <w:lvl w:ilvl="0">
      <w:lvlJc w:val="left"/>
      <w:lvlText w:val="(%1)"/>
      <w:numFmt w:val="decimal"/>
      <w:start w:val="2"/>
    </w:lvl>
  </w:abstractNum>
  <w:abstractNum w:abstractNumId="122">
    <w:nsid w:val="3AA10581"/>
    <w:multiLevelType w:val="hybridMultilevel"/>
    <w:lvl w:ilvl="0">
      <w:lvlJc w:val="left"/>
      <w:lvlText w:val="%1"/>
      <w:numFmt w:val="decimal"/>
      <w:start w:val="1"/>
    </w:lvl>
    <w:lvl w:ilvl="1">
      <w:lvlJc w:val="left"/>
      <w:lvlText w:val="(%2)"/>
      <w:numFmt w:val="decimal"/>
      <w:start w:val="5"/>
    </w:lvl>
  </w:abstractNum>
  <w:abstractNum w:abstractNumId="123">
    <w:nsid w:val="63DE60CD"/>
    <w:multiLevelType w:val="hybridMultilevel"/>
    <w:lvl w:ilvl="0">
      <w:lvlJc w:val="left"/>
      <w:lvlText w:val="(%1)"/>
      <w:numFmt w:val="decimal"/>
      <w:start w:val="8"/>
    </w:lvl>
    <w:lvl w:ilvl="1">
      <w:lvlJc w:val="left"/>
      <w:lvlText w:val="%2"/>
      <w:numFmt w:val="decimal"/>
      <w:start w:val="1"/>
    </w:lvl>
  </w:abstractNum>
  <w:abstractNum w:abstractNumId="124">
    <w:nsid w:val="621AF471"/>
    <w:multiLevelType w:val="hybridMultilevel"/>
    <w:lvl w:ilvl="0">
      <w:lvlJc w:val="left"/>
      <w:lvlText w:val="(%1)"/>
      <w:numFmt w:val="decimal"/>
      <w:start w:val="1"/>
    </w:lvl>
  </w:abstractNum>
  <w:abstractNum w:abstractNumId="125">
    <w:nsid w:val="73CFE165"/>
    <w:multiLevelType w:val="hybridMultilevel"/>
    <w:lvl w:ilvl="0">
      <w:lvlJc w:val="left"/>
      <w:lvlText w:val="%1"/>
      <w:numFmt w:val="decimal"/>
      <w:start w:val="1"/>
    </w:lvl>
    <w:lvl w:ilvl="1">
      <w:lvlJc w:val="left"/>
      <w:lvlText w:val="(%2)"/>
      <w:numFmt w:val="lowerLetter"/>
      <w:start w:val="2"/>
    </w:lvl>
  </w:abstractNum>
  <w:abstractNum w:abstractNumId="126">
    <w:nsid w:val="20F88EA6"/>
    <w:multiLevelType w:val="hybridMultilevel"/>
    <w:lvl w:ilvl="0">
      <w:lvlJc w:val="left"/>
      <w:lvlText w:val="(%1)"/>
      <w:numFmt w:val="decimal"/>
      <w:start w:val="4"/>
    </w:lvl>
    <w:lvl w:ilvl="1">
      <w:lvlJc w:val="left"/>
      <w:lvlText w:val="%2"/>
      <w:numFmt w:val="lowerLetter"/>
      <w:start w:val="1"/>
    </w:lvl>
  </w:abstractNum>
  <w:abstractNum w:abstractNumId="127">
    <w:nsid w:val="617C843E"/>
    <w:multiLevelType w:val="hybridMultilevel"/>
    <w:lvl w:ilvl="0">
      <w:lvlJc w:val="left"/>
      <w:lvlText w:val="(%1)"/>
      <w:numFmt w:val="decimal"/>
      <w:start w:val="6"/>
    </w:lvl>
    <w:lvl w:ilvl="1">
      <w:lvlJc w:val="left"/>
      <w:lvlText w:val="(%2)"/>
      <w:numFmt w:val="lowerLetter"/>
      <w:start w:val="1"/>
    </w:lvl>
  </w:abstractNum>
  <w:abstractNum w:abstractNumId="128">
    <w:nsid w:val="7B541FAB"/>
    <w:multiLevelType w:val="hybridMultilevel"/>
    <w:lvl w:ilvl="0">
      <w:lvlJc w:val="left"/>
      <w:lvlText w:val="(%1)"/>
      <w:numFmt w:val="decimal"/>
      <w:start w:val="12"/>
    </w:lvl>
  </w:abstractNum>
  <w:abstractNum w:abstractNumId="129">
    <w:nsid w:val="2A79EC49"/>
    <w:multiLevelType w:val="hybridMultilevel"/>
    <w:lvl w:ilvl="0">
      <w:lvlJc w:val="left"/>
      <w:lvlText w:val="(%1)"/>
      <w:numFmt w:val="decimal"/>
      <w:start w:val="21"/>
    </w:lvl>
  </w:abstractNum>
  <w:abstractNum w:abstractNumId="130">
    <w:nsid w:val="338125CF"/>
    <w:multiLevelType w:val="hybridMultilevel"/>
    <w:lvl w:ilvl="0">
      <w:lvlJc w:val="left"/>
      <w:lvlText w:val="%1"/>
      <w:numFmt w:val="decimal"/>
      <w:start w:val="1"/>
    </w:lvl>
    <w:lvl w:ilvl="1">
      <w:lvlJc w:val="left"/>
      <w:lvlText w:val="(%2)"/>
      <w:numFmt w:val="decimal"/>
      <w:start w:val="31"/>
    </w:lvl>
  </w:abstractNum>
  <w:abstractNum w:abstractNumId="131">
    <w:nsid w:val="47C7C971"/>
    <w:multiLevelType w:val="hybridMultilevel"/>
    <w:lvl w:ilvl="0">
      <w:lvlJc w:val="left"/>
      <w:lvlText w:val="(%1)"/>
      <w:numFmt w:val="decimal"/>
      <w:start w:val="37"/>
    </w:lvl>
    <w:lvl w:ilvl="1">
      <w:lvlJc w:val="left"/>
      <w:lvlText w:val="(%2)"/>
      <w:numFmt w:val="decimal"/>
      <w:start w:val="38"/>
    </w:lvl>
  </w:abstractNum>
  <w:abstractNum w:abstractNumId="132">
    <w:nsid w:val="46F8284B"/>
    <w:multiLevelType w:val="hybridMultilevel"/>
    <w:lvl w:ilvl="0">
      <w:lvlJc w:val="left"/>
      <w:lvlText w:val="(%1)"/>
      <w:numFmt w:val="decimal"/>
      <w:start w:val="1"/>
    </w:lvl>
    <w:lvl w:ilvl="1">
      <w:lvlJc w:val="left"/>
      <w:lvlText w:val="(%2)"/>
      <w:numFmt w:val="lowerLetter"/>
      <w:start w:val="1"/>
    </w:lvl>
  </w:abstractNum>
  <w:abstractNum w:abstractNumId="133">
    <w:nsid w:val="4FA327CE"/>
    <w:multiLevelType w:val="hybridMultilevel"/>
    <w:lvl w:ilvl="0">
      <w:lvlJc w:val="left"/>
      <w:lvlText w:val="(%1)"/>
      <w:numFmt w:val="decimal"/>
      <w:start w:val="4"/>
    </w:lvl>
    <w:lvl w:ilvl="1">
      <w:lvlJc w:val="left"/>
      <w:lvlText w:val="(%2)"/>
      <w:numFmt w:val="lowerLetter"/>
      <w:start w:val="1"/>
    </w:lvl>
  </w:abstractNum>
  <w:abstractNum w:abstractNumId="134">
    <w:nsid w:val="1873983A"/>
    <w:multiLevelType w:val="hybridMultilevel"/>
    <w:lvl w:ilvl="0">
      <w:lvlJc w:val="left"/>
      <w:lvlText w:val="%1"/>
      <w:numFmt w:val="lowerLetter"/>
      <w:start w:val="1"/>
    </w:lvl>
    <w:lvl w:ilvl="1">
      <w:lvlJc w:val="left"/>
      <w:lvlText w:val="(%2)"/>
      <w:numFmt w:val="lowerLetter"/>
      <w:start w:val="4"/>
    </w:lvl>
  </w:abstractNum>
  <w:abstractNum w:abstractNumId="135">
    <w:nsid w:val="3D2DD275"/>
    <w:multiLevelType w:val="hybridMultilevel"/>
    <w:lvl w:ilvl="0">
      <w:lvlJc w:val="left"/>
      <w:lvlText w:val="(%1)"/>
      <w:numFmt w:val="lowerLetter"/>
      <w:start w:val="14"/>
    </w:lvl>
    <w:lvl w:ilvl="1">
      <w:lvlJc w:val="left"/>
      <w:lvlText w:val="%2"/>
      <w:numFmt w:val="lowerLetter"/>
      <w:start w:val="1"/>
    </w:lvl>
  </w:abstractNum>
  <w:abstractNum w:abstractNumId="136">
    <w:nsid w:val="2E17ECA7"/>
    <w:multiLevelType w:val="hybridMultilevel"/>
    <w:lvl w:ilvl="0">
      <w:lvlJc w:val="left"/>
      <w:lvlText w:val="(%1)"/>
      <w:numFmt w:val="decimal"/>
      <w:start w:val="8"/>
    </w:lvl>
  </w:abstractNum>
  <w:abstractNum w:abstractNumId="137">
    <w:nsid w:val="53B2564F"/>
    <w:multiLevelType w:val="hybridMultilevel"/>
    <w:lvl w:ilvl="0">
      <w:lvlJc w:val="left"/>
      <w:lvlText w:val="(%1)"/>
      <w:numFmt w:val="decimal"/>
      <w:start w:val="13"/>
    </w:lvl>
  </w:abstractNum>
  <w:abstractNum w:abstractNumId="138">
    <w:nsid w:val="75509D76"/>
    <w:multiLevelType w:val="hybridMultilevel"/>
    <w:lvl w:ilvl="0">
      <w:lvlJc w:val="left"/>
      <w:lvlText w:val="(%1)"/>
      <w:numFmt w:val="decimal"/>
      <w:start w:val="20"/>
    </w:lvl>
  </w:abstractNum>
  <w:abstractNum w:abstractNumId="139">
    <w:nsid w:val="1AF7F0EA"/>
    <w:multiLevelType w:val="hybridMultilevel"/>
    <w:lvl w:ilvl="0">
      <w:lvlJc w:val="left"/>
      <w:lvlText w:val="(%1)"/>
      <w:numFmt w:val="decimal"/>
      <w:start w:val="28"/>
    </w:lvl>
  </w:abstractNum>
  <w:abstractNum w:abstractNumId="140">
    <w:nsid w:val="4DA32C7E"/>
    <w:multiLevelType w:val="hybridMultilevel"/>
    <w:lvl w:ilvl="0">
      <w:lvlJc w:val="left"/>
      <w:lvlText w:val="(%1)"/>
      <w:numFmt w:val="decimal"/>
      <w:start w:val="40"/>
    </w:lvl>
  </w:abstractNum>
  <w:abstractNum w:abstractNumId="141">
    <w:nsid w:val="6EC68664"/>
    <w:multiLevelType w:val="hybridMultilevel"/>
    <w:lvl w:ilvl="0">
      <w:lvlJc w:val="left"/>
      <w:lvlText w:val="%1"/>
      <w:numFmt w:val="lowerLetter"/>
      <w:start w:val="1"/>
    </w:lvl>
    <w:lvl w:ilvl="1">
      <w:lvlJc w:val="left"/>
      <w:lvlText w:val="(%2)"/>
      <w:numFmt w:val="decimal"/>
      <w:start w:val="48"/>
    </w:lvl>
  </w:abstractNum>
  <w:abstractNum w:abstractNumId="142">
    <w:nsid w:val="E0D31FF"/>
    <w:multiLevelType w:val="hybridMultilevel"/>
    <w:lvl w:ilvl="0">
      <w:lvlJc w:val="left"/>
      <w:lvlText w:val="(%1)"/>
      <w:numFmt w:val="lowerLetter"/>
      <w:start w:val="25"/>
    </w:lvl>
    <w:lvl w:ilvl="1">
      <w:lvlJc w:val="left"/>
      <w:lvlText w:val="(%2)"/>
      <w:numFmt w:val="decimal"/>
      <w:start w:val="50"/>
    </w:lvl>
  </w:abstractNum>
  <w:abstractNum w:abstractNumId="143">
    <w:nsid w:val="2FD0AD81"/>
    <w:multiLevelType w:val="hybridMultilevel"/>
    <w:lvl w:ilvl="0">
      <w:lvlJc w:val="left"/>
      <w:lvlText w:val="(%1)"/>
      <w:numFmt w:val="lowerLetter"/>
      <w:start w:val="1"/>
    </w:lvl>
  </w:abstractNum>
  <w:abstractNum w:abstractNumId="144">
    <w:nsid w:val="1978EBEB"/>
    <w:multiLevelType w:val="hybridMultilevel"/>
    <w:lvl w:ilvl="0">
      <w:lvlJc w:val="left"/>
      <w:lvlText w:val="(%1)"/>
      <w:numFmt w:val="upperLetter"/>
      <w:start w:val="9"/>
    </w:lvl>
  </w:abstractNum>
  <w:abstractNum w:abstractNumId="145">
    <w:nsid w:val="52C12C61"/>
    <w:multiLevelType w:val="hybridMultilevel"/>
    <w:lvl w:ilvl="0">
      <w:lvlJc w:val="left"/>
      <w:lvlText w:val="%1"/>
      <w:numFmt w:val="lowerLetter"/>
      <w:start w:val="1"/>
    </w:lvl>
    <w:lvl w:ilvl="1">
      <w:lvlJc w:val="left"/>
      <w:lvlText w:val="(%2)"/>
      <w:numFmt w:val="upperLetter"/>
      <w:start w:val="35"/>
    </w:lvl>
  </w:abstractNum>
  <w:abstractNum w:abstractNumId="146">
    <w:nsid w:val="4BDD53FD"/>
    <w:multiLevelType w:val="hybridMultilevel"/>
    <w:lvl w:ilvl="0">
      <w:lvlJc w:val="left"/>
      <w:lvlText w:val="(%1)"/>
      <w:numFmt w:val="lowerLetter"/>
      <w:start w:val="3"/>
    </w:lvl>
    <w:lvl w:ilvl="1">
      <w:lvlJc w:val="left"/>
      <w:lvlText w:val="%2"/>
      <w:numFmt w:val="upperLetter"/>
      <w:start w:val="1"/>
    </w:lvl>
  </w:abstractNum>
  <w:abstractNum w:abstractNumId="147">
    <w:nsid w:val="569951FE"/>
    <w:multiLevelType w:val="hybridMultilevel"/>
    <w:lvl w:ilvl="0">
      <w:lvlJc w:val="left"/>
      <w:lvlText w:val="(%1)"/>
      <w:numFmt w:val="lowerLetter"/>
      <w:start w:val="4"/>
    </w:lvl>
  </w:abstractNum>
  <w:abstractNum w:abstractNumId="148">
    <w:nsid w:val="4C54E2C3"/>
    <w:multiLevelType w:val="hybridMultilevel"/>
    <w:lvl w:ilvl="0">
      <w:lvlJc w:val="left"/>
      <w:lvlText w:val="(%1)"/>
      <w:numFmt w:val="lowerRoman"/>
      <w:start w:val="1"/>
    </w:lvl>
  </w:abstractNum>
  <w:abstractNum w:abstractNumId="149">
    <w:nsid w:val="788BD9B"/>
    <w:multiLevelType w:val="hybridMultilevel"/>
    <w:lvl w:ilvl="0">
      <w:lvlJc w:val="left"/>
      <w:lvlText w:val="(%1)"/>
      <w:numFmt w:val="lowerRoman"/>
      <w:start w:val="10"/>
    </w:lvl>
  </w:abstractNum>
  <w:abstractNum w:abstractNumId="150">
    <w:nsid w:val="47CAA567"/>
    <w:multiLevelType w:val="hybridMultilevel"/>
    <w:lvl w:ilvl="0">
      <w:lvlJc w:val="left"/>
      <w:lvlText w:val="(%1)"/>
      <w:numFmt w:val="decimal"/>
      <w:start w:val="2"/>
    </w:lvl>
  </w:abstractNum>
  <w:abstractNum w:abstractNumId="151">
    <w:nsid w:val="48249DBF"/>
    <w:multiLevelType w:val="hybridMultilevel"/>
    <w:lvl w:ilvl="0">
      <w:lvlJc w:val="left"/>
      <w:lvlText w:val="(%1)"/>
      <w:numFmt w:val="decimal"/>
      <w:start w:val="1"/>
    </w:lvl>
  </w:abstractNum>
  <w:abstractNum w:abstractNumId="152">
    <w:nsid w:val="1F0E5D0D"/>
    <w:multiLevelType w:val="hybridMultilevel"/>
    <w:lvl w:ilvl="0">
      <w:lvlJc w:val="left"/>
      <w:lvlText w:val="(%1)"/>
      <w:numFmt w:val="decimal"/>
      <w:start w:val="3"/>
    </w:lvl>
  </w:abstractNum>
  <w:abstractNum w:abstractNumId="153">
    <w:nsid w:val="26BAAE9"/>
    <w:multiLevelType w:val="hybridMultilevel"/>
    <w:lvl w:ilvl="0">
      <w:lvlJc w:val="left"/>
      <w:lvlText w:val="(%1)"/>
      <w:numFmt w:val="decimal"/>
      <w:start w:val="1"/>
    </w:lvl>
  </w:abstractNum>
  <w:abstractNum w:abstractNumId="154">
    <w:nsid w:val="2C02FE8C"/>
    <w:multiLevelType w:val="hybridMultilevel"/>
    <w:lvl w:ilvl="0">
      <w:lvlJc w:val="left"/>
      <w:lvlText w:val="%1"/>
      <w:numFmt w:val="lowerLetter"/>
      <w:start w:val="1"/>
    </w:lvl>
    <w:lvl w:ilvl="1">
      <w:lvlJc w:val="left"/>
      <w:lvlText w:val="(%2)"/>
      <w:numFmt w:val="decimal"/>
      <w:start w:val="5"/>
    </w:lvl>
  </w:abstractNum>
  <w:abstractNum w:abstractNumId="155">
    <w:nsid w:val="129517E"/>
    <w:multiLevelType w:val="hybridMultilevel"/>
    <w:lvl w:ilvl="0">
      <w:lvlJc w:val="left"/>
      <w:lvlText w:val="(%1)"/>
      <w:numFmt w:val="lowerLetter"/>
      <w:start w:val="3"/>
    </w:lvl>
    <w:lvl w:ilvl="1">
      <w:lvlJc w:val="left"/>
      <w:lvlText w:val="(%2)"/>
      <w:numFmt w:val="decimal"/>
      <w:start w:val="7"/>
    </w:lvl>
  </w:abstractNum>
  <w:abstractNum w:abstractNumId="156">
    <w:nsid w:val="763B8C4E"/>
    <w:multiLevelType w:val="hybridMultilevel"/>
    <w:lvl w:ilvl="0">
      <w:lvlJc w:val="left"/>
      <w:lvlText w:val="(%1)"/>
      <w:numFmt w:val="decimal"/>
      <w:start w:val="1"/>
    </w:lvl>
    <w:lvl w:ilvl="1">
      <w:lvlJc w:val="left"/>
      <w:lvlText w:val="(%2)"/>
      <w:numFmt w:val="lowerLetter"/>
      <w:start w:val="1"/>
    </w:lvl>
  </w:abstractNum>
  <w:abstractNum w:abstractNumId="157">
    <w:nsid w:val="4CFB8D32"/>
    <w:multiLevelType w:val="hybridMultilevel"/>
    <w:lvl w:ilvl="0">
      <w:lvlJc w:val="left"/>
      <w:lvlText w:val="(%1)"/>
      <w:numFmt w:val="lowerLetter"/>
      <w:start w:val="1"/>
    </w:lvl>
  </w:abstractNum>
  <w:abstractNum w:abstractNumId="158">
    <w:nsid w:val="62A5D5BD"/>
    <w:multiLevelType w:val="hybridMultilevel"/>
    <w:lvl w:ilvl="0">
      <w:lvlJc w:val="left"/>
      <w:lvlText w:val="(%1)"/>
      <w:numFmt w:val="lowerLetter"/>
      <w:start w:val="2"/>
    </w:lvl>
  </w:abstractNum>
  <w:abstractNum w:abstractNumId="159">
    <w:nsid w:val="718FABF9"/>
    <w:multiLevelType w:val="hybridMultilevel"/>
    <w:lvl w:ilvl="0">
      <w:lvlJc w:val="left"/>
      <w:lvlText w:val="(%1)"/>
      <w:numFmt w:val="decimal"/>
      <w:start w:val="1"/>
    </w:lvl>
  </w:abstractNum>
  <w:abstractNum w:abstractNumId="160">
    <w:nsid w:val="7775797C"/>
    <w:multiLevelType w:val="hybridMultilevel"/>
    <w:lvl w:ilvl="0">
      <w:lvlJc w:val="left"/>
      <w:lvlText w:val="(%1)"/>
      <w:numFmt w:val="lowerLetter"/>
      <w:start w:val="1"/>
    </w:lvl>
  </w:abstractNum>
  <w:abstractNum w:abstractNumId="161">
    <w:nsid w:val="1626FB8C"/>
    <w:multiLevelType w:val="hybridMultilevel"/>
    <w:lvl w:ilvl="0">
      <w:lvlJc w:val="left"/>
      <w:lvlText w:val="(%1)"/>
      <w:numFmt w:val="lowerLetter"/>
      <w:start w:val="1"/>
    </w:lvl>
  </w:abstractNum>
  <w:abstractNum w:abstractNumId="162">
    <w:nsid w:val="3957756A"/>
    <w:multiLevelType w:val="hybridMultilevel"/>
    <w:lvl w:ilvl="0">
      <w:lvlJc w:val="left"/>
      <w:lvlText w:val="(%1)"/>
      <w:numFmt w:val="decimal"/>
      <w:start w:val="1"/>
    </w:lvl>
  </w:abstractNum>
  <w:abstractNum w:abstractNumId="163">
    <w:nsid w:val="3E6DA1C7"/>
    <w:multiLevelType w:val="hybridMultilevel"/>
    <w:lvl w:ilvl="0">
      <w:lvlJc w:val="left"/>
      <w:lvlText w:val="(%1)"/>
      <w:numFmt w:val="decimal"/>
      <w:start w:val="1"/>
    </w:lvl>
  </w:abstractNum>
  <w:abstractNum w:abstractNumId="164">
    <w:nsid w:val="65CA235B"/>
    <w:multiLevelType w:val="hybridMultilevel"/>
    <w:lvl w:ilvl="0">
      <w:lvlJc w:val="left"/>
      <w:lvlText w:val="(%1)"/>
      <w:numFmt w:val="decimal"/>
      <w:start w:val="6"/>
    </w:lvl>
    <w:lvl w:ilvl="1">
      <w:lvlJc w:val="left"/>
      <w:lvlText w:val="(%2)"/>
      <w:numFmt w:val="lowerLetter"/>
      <w:start w:val="1"/>
    </w:lvl>
  </w:abstractNum>
  <w:abstractNum w:abstractNumId="165">
    <w:nsid w:val="51CB0DA4"/>
    <w:multiLevelType w:val="hybridMultilevel"/>
    <w:lvl w:ilvl="0">
      <w:lvlJc w:val="left"/>
      <w:lvlText w:val="(%1)"/>
      <w:numFmt w:val="decimal"/>
      <w:start w:val="10"/>
    </w:lvl>
  </w:abstractNum>
  <w:abstractNum w:abstractNumId="166">
    <w:nsid w:val="7B9B743C"/>
    <w:multiLevelType w:val="hybridMultilevel"/>
    <w:lvl w:ilvl="0">
      <w:lvlJc w:val="left"/>
      <w:lvlText w:val="(%1)"/>
      <w:numFmt w:val="decimal"/>
      <w:start w:val="1"/>
    </w:lvl>
  </w:abstractNum>
  <w:abstractNum w:abstractNumId="167">
    <w:nsid w:val="13E21002"/>
    <w:multiLevelType w:val="hybridMultilevel"/>
    <w:lvl w:ilvl="0">
      <w:lvlJc w:val="left"/>
      <w:lvlText w:val="(%1)"/>
      <w:numFmt w:val="decimal"/>
      <w:start w:val="1"/>
    </w:lvl>
  </w:abstractNum>
  <w:abstractNum w:abstractNumId="168">
    <w:nsid w:val="257D63F4"/>
    <w:multiLevelType w:val="hybridMultilevel"/>
    <w:lvl w:ilvl="0">
      <w:lvlJc w:val="left"/>
      <w:lvlText w:val="(%1)"/>
      <w:numFmt w:val="decimal"/>
      <w:start w:val="3"/>
    </w:lvl>
  </w:abstractNum>
  <w:abstractNum w:abstractNumId="169">
    <w:nsid w:val="70EC11B2"/>
    <w:multiLevelType w:val="hybridMultilevel"/>
    <w:lvl w:ilvl="0">
      <w:lvlJc w:val="left"/>
      <w:lvlText w:val="(%1)"/>
      <w:numFmt w:val="decimal"/>
      <w:start w:val="5"/>
    </w:lvl>
  </w:abstractNum>
  <w:abstractNum w:abstractNumId="170">
    <w:nsid w:val="2EDA00ED"/>
    <w:multiLevelType w:val="hybridMultilevel"/>
    <w:lvl w:ilvl="0">
      <w:lvlJc w:val="left"/>
      <w:lvlText w:val="(%1)"/>
      <w:numFmt w:val="decimal"/>
      <w:start w:val="9"/>
    </w:lvl>
  </w:abstractNum>
  <w:abstractNum w:abstractNumId="171">
    <w:nsid w:val="73209072"/>
    <w:multiLevelType w:val="hybridMultilevel"/>
    <w:lvl w:ilvl="0">
      <w:lvlJc w:val="left"/>
      <w:lvlText w:val="(%1)"/>
      <w:numFmt w:val="decimal"/>
      <w:start w:val="12"/>
    </w:lvl>
  </w:abstractNum>
  <w:abstractNum w:abstractNumId="172">
    <w:nsid w:val="5FB29816"/>
    <w:multiLevelType w:val="hybridMultilevel"/>
    <w:lvl w:ilvl="0">
      <w:lvlJc w:val="left"/>
      <w:lvlText w:val="(%1)"/>
      <w:numFmt w:val="decimal"/>
      <w:start w:val="13"/>
    </w:lvl>
  </w:abstractNum>
  <w:abstractNum w:abstractNumId="173">
    <w:nsid w:val="3CE732EC"/>
    <w:multiLevelType w:val="hybridMultilevel"/>
    <w:lvl w:ilvl="0">
      <w:lvlJc w:val="left"/>
      <w:lvlText w:val="(%1)"/>
      <w:numFmt w:val="decimal"/>
      <w:start w:val="1"/>
    </w:lvl>
  </w:abstractNum>
  <w:abstractNum w:abstractNumId="174">
    <w:nsid w:val="22F13DF3"/>
    <w:multiLevelType w:val="hybridMultilevel"/>
    <w:lvl w:ilvl="0">
      <w:lvlJc w:val="left"/>
      <w:lvlText w:val="(%1)"/>
      <w:numFmt w:val="decimal"/>
      <w:start w:val="2"/>
    </w:lvl>
  </w:abstractNum>
  <w:abstractNum w:abstractNumId="175">
    <w:nsid w:val="792B8401"/>
    <w:multiLevelType w:val="hybridMultilevel"/>
    <w:lvl w:ilvl="0">
      <w:lvlJc w:val="left"/>
      <w:lvlText w:val="(%1)"/>
      <w:numFmt w:val="decimal"/>
      <w:start w:val="1"/>
    </w:lvl>
    <w:lvl w:ilvl="1">
      <w:lvlJc w:val="left"/>
      <w:lvlText w:val="(%2)"/>
      <w:numFmt w:val="lowerLetter"/>
      <w:start w:val="1"/>
    </w:lvl>
  </w:abstractNum>
  <w:abstractNum w:abstractNumId="176">
    <w:nsid w:val="FA85F4D"/>
    <w:multiLevelType w:val="hybridMultilevel"/>
    <w:lvl w:ilvl="0">
      <w:lvlJc w:val="left"/>
      <w:lvlText w:val="(%1)"/>
      <w:numFmt w:val="lowerLetter"/>
      <w:start w:val="3"/>
    </w:lvl>
  </w:abstractNum>
  <w:abstractNum w:abstractNumId="177">
    <w:nsid w:val="6ECE91F0"/>
    <w:multiLevelType w:val="hybridMultilevel"/>
    <w:lvl w:ilvl="0">
      <w:lvlJc w:val="left"/>
      <w:lvlText w:val="(%1)"/>
      <w:numFmt w:val="decimal"/>
      <w:start w:val="1"/>
    </w:lvl>
  </w:abstractNum>
  <w:abstractNum w:abstractNumId="178">
    <w:nsid w:val="4FC4D600"/>
    <w:multiLevelType w:val="hybridMultilevel"/>
    <w:lvl w:ilvl="0">
      <w:lvlJc w:val="left"/>
      <w:lvlText w:val="(%1)"/>
      <w:numFmt w:val="decimal"/>
      <w:start w:val="1"/>
    </w:lvl>
  </w:abstractNum>
  <w:abstractNum w:abstractNumId="179">
    <w:nsid w:val="5BFD4210"/>
    <w:multiLevelType w:val="hybridMultilevel"/>
    <w:lvl w:ilvl="0">
      <w:lvlJc w:val="left"/>
      <w:lvlText w:val="(%1)"/>
      <w:numFmt w:val="lowerLetter"/>
      <w:start w:val="1"/>
    </w:lvl>
  </w:abstractNum>
  <w:abstractNum w:abstractNumId="180">
    <w:nsid w:val="76574F8B"/>
    <w:multiLevelType w:val="hybridMultilevel"/>
    <w:lvl w:ilvl="0">
      <w:lvlJc w:val="left"/>
      <w:lvlText w:val="(%1)"/>
      <w:numFmt w:val="decimal"/>
      <w:start w:val="2"/>
    </w:lvl>
  </w:abstractNum>
  <w:abstractNum w:abstractNumId="181">
    <w:nsid w:val="178F7B67"/>
    <w:multiLevelType w:val="hybridMultilevel"/>
    <w:lvl w:ilvl="0">
      <w:lvlJc w:val="left"/>
      <w:lvlText w:val="(%1)"/>
      <w:numFmt w:val="decimal"/>
      <w:start w:val="3"/>
    </w:lvl>
  </w:abstractNum>
  <w:abstractNum w:abstractNumId="182">
    <w:nsid w:val="2421DFCF"/>
    <w:multiLevelType w:val="hybridMultilevel"/>
    <w:lvl w:ilvl="0">
      <w:lvlJc w:val="left"/>
      <w:lvlText w:val="(%1)"/>
      <w:numFmt w:val="decimal"/>
      <w:start w:val="1"/>
    </w:lvl>
    <w:lvl w:ilvl="1">
      <w:lvlJc w:val="left"/>
      <w:lvlText w:val="(%2)"/>
      <w:numFmt w:val="lowerLetter"/>
      <w:start w:val="1"/>
    </w:lvl>
  </w:abstractNum>
  <w:abstractNum w:abstractNumId="183">
    <w:nsid w:val="1565AC99"/>
    <w:multiLevelType w:val="hybridMultilevel"/>
    <w:lvl w:ilvl="0">
      <w:lvlJc w:val="left"/>
      <w:lvlText w:val="(%1)"/>
      <w:numFmt w:val="lowerRoman"/>
      <w:start w:val="1"/>
    </w:lvl>
  </w:abstractNum>
  <w:abstractNum w:abstractNumId="184">
    <w:nsid w:val="19FB2650"/>
    <w:multiLevelType w:val="hybridMultilevel"/>
    <w:lvl w:ilvl="0">
      <w:lvlJc w:val="left"/>
      <w:lvlText w:val="(%1)"/>
      <w:numFmt w:val="lowerRoman"/>
      <w:start w:val="4"/>
    </w:lvl>
  </w:abstractNum>
  <w:abstractNum w:abstractNumId="185">
    <w:nsid w:val="5024DE5B"/>
    <w:multiLevelType w:val="hybridMultilevel"/>
    <w:lvl w:ilvl="0">
      <w:lvlJc w:val="left"/>
      <w:lvlText w:val="(%1)"/>
      <w:numFmt w:val="decimal"/>
      <w:start w:val="2"/>
    </w:lvl>
    <w:lvl w:ilvl="1">
      <w:lvlJc w:val="left"/>
      <w:lvlText w:val="(%2)"/>
      <w:numFmt w:val="lowerLetter"/>
      <w:start w:val="1"/>
    </w:lvl>
  </w:abstractNum>
  <w:abstractNum w:abstractNumId="186">
    <w:nsid w:val="168EFE17"/>
    <w:multiLevelType w:val="hybridMultilevel"/>
    <w:lvl w:ilvl="0">
      <w:lvlJc w:val="left"/>
      <w:lvlText w:val="(%1)"/>
      <w:numFmt w:val="lowerRoman"/>
      <w:start w:val="1"/>
    </w:lvl>
  </w:abstractNum>
  <w:abstractNum w:abstractNumId="187">
    <w:nsid w:val="1036B29F"/>
    <w:multiLevelType w:val="hybridMultilevel"/>
    <w:lvl w:ilvl="0">
      <w:lvlJc w:val="left"/>
      <w:lvlText w:val="(%1)"/>
      <w:numFmt w:val="lowerRoman"/>
      <w:start w:val="1"/>
    </w:lvl>
    <w:lvl w:ilvl="1">
      <w:lvlJc w:val="left"/>
      <w:lvlText w:val="(%2)"/>
      <w:numFmt w:val="lowerLetter"/>
      <w:start w:val="2"/>
    </w:lvl>
  </w:abstractNum>
  <w:abstractNum w:abstractNumId="188">
    <w:nsid w:val="1D206B8E"/>
    <w:multiLevelType w:val="hybridMultilevel"/>
    <w:lvl w:ilvl="0">
      <w:lvlJc w:val="left"/>
      <w:lvlText w:val="(%1)"/>
      <w:numFmt w:val="decimal"/>
      <w:start w:val="3"/>
    </w:lvl>
    <w:lvl w:ilvl="1">
      <w:lvlJc w:val="left"/>
      <w:lvlText w:val="(%2)"/>
      <w:numFmt w:val="lowerLetter"/>
      <w:start w:val="1"/>
    </w:lvl>
  </w:abstractNum>
  <w:abstractNum w:abstractNumId="189">
    <w:nsid w:val="7934D3D4"/>
    <w:multiLevelType w:val="hybridMultilevel"/>
    <w:lvl w:ilvl="0">
      <w:lvlJc w:val="left"/>
      <w:lvlText w:val="%1"/>
      <w:numFmt w:val="lowerRoman"/>
      <w:start w:val="1"/>
    </w:lvl>
    <w:lvl w:ilvl="1">
      <w:lvlJc w:val="left"/>
      <w:lvlText w:val="(%2)"/>
      <w:numFmt w:val="lowerLetter"/>
      <w:start w:val="4"/>
    </w:lvl>
  </w:abstractNum>
  <w:abstractNum w:abstractNumId="190">
    <w:nsid w:val="1C65E98"/>
    <w:multiLevelType w:val="hybridMultilevel"/>
    <w:lvl w:ilvl="0">
      <w:lvlJc w:val="left"/>
      <w:lvlText w:val="(%1)"/>
      <w:numFmt w:val="lowerRoman"/>
      <w:start w:val="1"/>
    </w:lvl>
    <w:lvl w:ilvl="1">
      <w:lvlJc w:val="left"/>
      <w:lvlText w:val="%2"/>
      <w:numFmt w:val="lowerLetter"/>
      <w:start w:val="1"/>
    </w:lvl>
  </w:abstractNum>
  <w:abstractNum w:abstractNumId="191">
    <w:nsid w:val="1495E50A"/>
    <w:multiLevelType w:val="hybridMultilevel"/>
    <w:lvl w:ilvl="0">
      <w:lvlJc w:val="left"/>
      <w:lvlText w:val="%1"/>
      <w:numFmt w:val="decimal"/>
      <w:start w:val="1"/>
    </w:lvl>
    <w:lvl w:ilvl="1">
      <w:lvlJc w:val="left"/>
      <w:lvlText w:val="(%2)"/>
      <w:numFmt w:val="lowerLetter"/>
      <w:start w:val="6"/>
    </w:lvl>
  </w:abstractNum>
  <w:abstractNum w:abstractNumId="192">
    <w:nsid w:val="F5BCF61"/>
    <w:multiLevelType w:val="hybridMultilevel"/>
    <w:lvl w:ilvl="0">
      <w:lvlJc w:val="left"/>
      <w:lvlText w:val="(%1)"/>
      <w:numFmt w:val="decimal"/>
      <w:start w:val="4"/>
    </w:lvl>
    <w:lvl w:ilvl="1">
      <w:lvlJc w:val="left"/>
      <w:lvlText w:val="(%2)"/>
      <w:numFmt w:val="lowerLetter"/>
      <w:start w:val="1"/>
    </w:lvl>
  </w:abstractNum>
  <w:abstractNum w:abstractNumId="193">
    <w:nsid w:val="3B1DD403"/>
    <w:multiLevelType w:val="hybridMultilevel"/>
    <w:lvl w:ilvl="0">
      <w:lvlJc w:val="left"/>
      <w:lvlText w:val="(%1)"/>
      <w:numFmt w:val="decimal"/>
      <w:start w:val="5"/>
    </w:lvl>
    <w:lvl w:ilvl="1">
      <w:lvlJc w:val="left"/>
      <w:lvlText w:val="(%2)"/>
      <w:numFmt w:val="lowerLetter"/>
      <w:start w:val="1"/>
    </w:lvl>
  </w:abstractNum>
  <w:abstractNum w:abstractNumId="194">
    <w:nsid w:val="530386D1"/>
    <w:multiLevelType w:val="hybridMultilevel"/>
    <w:lvl w:ilvl="0">
      <w:lvlJc w:val="left"/>
      <w:lvlText w:val="(%1)"/>
      <w:numFmt w:val="decimal"/>
      <w:start w:val="6"/>
    </w:lvl>
  </w:abstractNum>
  <w:abstractNum w:abstractNumId="195">
    <w:nsid w:val="7525F2BC"/>
    <w:multiLevelType w:val="hybridMultilevel"/>
    <w:lvl w:ilvl="0">
      <w:lvlJc w:val="left"/>
      <w:lvlText w:val="(%1)"/>
      <w:numFmt w:val="lowerLetter"/>
      <w:start w:val="1"/>
    </w:lvl>
  </w:abstractNum>
  <w:abstractNum w:abstractNumId="196">
    <w:nsid w:val="CE8E1A7"/>
    <w:multiLevelType w:val="hybridMultilevel"/>
    <w:lvl w:ilvl="0">
      <w:lvlJc w:val="left"/>
      <w:lvlText w:val="(%1)"/>
      <w:numFmt w:val="decimal"/>
      <w:start w:val="7"/>
    </w:lvl>
    <w:lvl w:ilvl="1">
      <w:lvlJc w:val="left"/>
      <w:lvlText w:val="(%2)"/>
      <w:numFmt w:val="lowerLetter"/>
      <w:start w:val="1"/>
    </w:lvl>
  </w:abstractNum>
  <w:abstractNum w:abstractNumId="197">
    <w:nsid w:val="4E9EFB0D"/>
    <w:multiLevelType w:val="hybridMultilevel"/>
    <w:lvl w:ilvl="0">
      <w:lvlJc w:val="left"/>
      <w:lvlText w:val="(%1)"/>
      <w:numFmt w:val="lowerRoman"/>
      <w:start w:val="2"/>
    </w:lvl>
    <w:lvl w:ilvl="1">
      <w:lvlJc w:val="left"/>
      <w:lvlText w:val="(%2)"/>
      <w:numFmt w:val="decimal"/>
      <w:start w:val="8"/>
    </w:lvl>
  </w:abstractNum>
  <w:abstractNum w:abstractNumId="198">
    <w:nsid w:val="90802BE"/>
    <w:multiLevelType w:val="hybridMultilevel"/>
    <w:lvl w:ilvl="0">
      <w:lvlJc w:val="left"/>
      <w:lvlText w:val="(%1)"/>
      <w:numFmt w:val="decimal"/>
      <w:start w:val="9"/>
    </w:lvl>
  </w:abstractNum>
  <w:abstractNum w:abstractNumId="199">
    <w:nsid w:val="3266459B"/>
    <w:multiLevelType w:val="hybridMultilevel"/>
    <w:lvl w:ilvl="0">
      <w:lvlJc w:val="left"/>
      <w:lvlText w:val="(%1)"/>
      <w:numFmt w:val="decimal"/>
      <w:start w:val="13"/>
    </w:lvl>
  </w:abstractNum>
  <w:abstractNum w:abstractNumId="200">
    <w:nsid w:val="3F8B0CBF"/>
    <w:multiLevelType w:val="hybridMultilevel"/>
    <w:lvl w:ilvl="0">
      <w:lvlJc w:val="left"/>
      <w:lvlText w:val="(%1)"/>
      <w:numFmt w:val="decimal"/>
      <w:start w:val="1"/>
    </w:lvl>
  </w:abstractNum>
  <w:abstractNum w:abstractNumId="201">
    <w:nsid w:val="37E203AB"/>
    <w:multiLevelType w:val="hybridMultilevel"/>
    <w:lvl w:ilvl="0">
      <w:lvlJc w:val="left"/>
      <w:lvlText w:val="(%1)"/>
      <w:numFmt w:val="decimal"/>
      <w:start w:val="2"/>
    </w:lvl>
    <w:lvl w:ilvl="1">
      <w:lvlJc w:val="left"/>
      <w:lvlText w:val="(%2)"/>
      <w:numFmt w:val="lowerLetter"/>
      <w:start w:val="1"/>
    </w:lvl>
  </w:abstractNum>
  <w:abstractNum w:abstractNumId="202">
    <w:nsid w:val="2586D60E"/>
    <w:multiLevelType w:val="hybridMultilevel"/>
    <w:lvl w:ilvl="0">
      <w:lvlJc w:val="left"/>
      <w:lvlText w:val="%1"/>
      <w:numFmt w:val="decimal"/>
      <w:start w:val="1"/>
    </w:lvl>
    <w:lvl w:ilvl="1">
      <w:lvlJc w:val="left"/>
      <w:lvlText w:val="(%2)"/>
      <w:numFmt w:val="lowerLetter"/>
      <w:start w:val="3"/>
    </w:lvl>
  </w:abstractNum>
  <w:abstractNum w:abstractNumId="203">
    <w:nsid w:val="1F3DA4D5"/>
    <w:multiLevelType w:val="hybridMultilevel"/>
    <w:lvl w:ilvl="0">
      <w:lvlJc w:val="left"/>
      <w:lvlText w:val="(%1)"/>
      <w:numFmt w:val="decimal"/>
      <w:start w:val="4"/>
    </w:lvl>
    <w:lvl w:ilvl="1">
      <w:lvlJc w:val="left"/>
      <w:lvlText w:val="(%2)"/>
      <w:numFmt w:val="lowerLetter"/>
      <w:start w:val="1"/>
    </w:lvl>
  </w:abstractNum>
  <w:abstractNum w:abstractNumId="204">
    <w:nsid w:val="74C93698"/>
    <w:multiLevelType w:val="hybridMultilevel"/>
    <w:lvl w:ilvl="0">
      <w:lvlJc w:val="left"/>
      <w:lvlText w:val="(%1)"/>
      <w:numFmt w:val="decimal"/>
      <w:start w:val="5"/>
    </w:lvl>
  </w:abstractNum>
  <w:abstractNum w:abstractNumId="205">
    <w:nsid w:val="48781401"/>
    <w:multiLevelType w:val="hybridMultilevel"/>
    <w:lvl w:ilvl="0">
      <w:lvlJc w:val="left"/>
      <w:lvlText w:val="(%1)"/>
      <w:numFmt w:val="decimal"/>
      <w:start w:val="1"/>
    </w:lvl>
    <w:lvl w:ilvl="1">
      <w:lvlJc w:val="left"/>
      <w:lvlText w:val="(%2)"/>
      <w:numFmt w:val="lowerLetter"/>
      <w:start w:val="1"/>
    </w:lvl>
  </w:abstractNum>
  <w:abstractNum w:abstractNumId="206">
    <w:nsid w:val="186928D6"/>
    <w:multiLevelType w:val="hybridMultilevel"/>
    <w:lvl w:ilvl="0">
      <w:lvlJc w:val="left"/>
      <w:lvlText w:val="(%1)"/>
      <w:numFmt w:val="lowerRoman"/>
      <w:start w:val="1"/>
    </w:lvl>
  </w:abstractNum>
  <w:abstractNum w:abstractNumId="207">
    <w:nsid w:val="47195E5"/>
    <w:multiLevelType w:val="hybridMultilevel"/>
    <w:lvl w:ilvl="0">
      <w:lvlJc w:val="left"/>
      <w:lvlText w:val="(%1)"/>
      <w:numFmt w:val="lowerLetter"/>
      <w:start w:val="2"/>
    </w:lvl>
  </w:abstractNum>
  <w:abstractNum w:abstractNumId="208">
    <w:nsid w:val="3746A5F2"/>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5"/>
    </w:lvl>
  </w:abstractNum>
  <w:abstractNum w:abstractNumId="209">
    <w:nsid w:val="682DFED6"/>
    <w:multiLevelType w:val="hybridMultilevel"/>
    <w:lvl w:ilvl="0">
      <w:lvlJc w:val="left"/>
      <w:lvlText w:val="(%1)"/>
      <w:numFmt w:val="upperLetter"/>
      <w:start w:val="35"/>
    </w:lvl>
    <w:lvl w:ilvl="1">
      <w:lvlJc w:val="left"/>
      <w:lvlText w:val="(%2)"/>
      <w:numFmt w:val="upperLetter"/>
      <w:start w:val="1"/>
    </w:lvl>
    <w:lvl w:ilvl="2">
      <w:lvlJc w:val="left"/>
      <w:lvlText w:val="%3"/>
      <w:numFmt w:val="lowerLetter"/>
      <w:start w:val="1"/>
    </w:lvl>
  </w:abstractNum>
  <w:abstractNum w:abstractNumId="210">
    <w:nsid w:val="606ED7F6"/>
    <w:multiLevelType w:val="hybridMultilevel"/>
    <w:lvl w:ilvl="0">
      <w:lvlJc w:val="left"/>
      <w:lvlText w:val="(%1)"/>
      <w:numFmt w:val="decimal"/>
      <w:start w:val="2"/>
    </w:lvl>
  </w:abstractNum>
  <w:abstractNum w:abstractNumId="211">
    <w:nsid w:val="2D9DF57D"/>
    <w:multiLevelType w:val="hybridMultilevel"/>
    <w:lvl w:ilvl="0">
      <w:lvlJc w:val="left"/>
      <w:lvlText w:val="(%1)"/>
      <w:numFmt w:val="decimal"/>
      <w:start w:val="3"/>
    </w:lvl>
  </w:abstractNum>
  <w:abstractNum w:abstractNumId="212">
    <w:nsid w:val="7FBD7A3E"/>
    <w:multiLevelType w:val="hybridMultilevel"/>
    <w:lvl w:ilvl="0">
      <w:lvlJc w:val="left"/>
      <w:lvlText w:val="(%1)"/>
      <w:numFmt w:val="upperLetter"/>
      <w:start w:val="3"/>
    </w:lvl>
  </w:abstractNum>
  <w:abstractNum w:abstractNumId="213">
    <w:nsid w:val="490B7C5"/>
    <w:multiLevelType w:val="hybridMultilevel"/>
    <w:lvl w:ilvl="0">
      <w:lvlJc w:val="left"/>
      <w:lvlText w:val="(%1)"/>
      <w:numFmt w:val="decimal"/>
      <w:start w:val="2"/>
    </w:lvl>
  </w:abstractNum>
  <w:abstractNum w:abstractNumId="214">
    <w:nsid w:val="4303A216"/>
    <w:multiLevelType w:val="hybridMultilevel"/>
    <w:lvl w:ilvl="0">
      <w:lvlJc w:val="left"/>
      <w:lvlText w:val="(%1)"/>
      <w:numFmt w:val="upperLetter"/>
      <w:start w:val="4"/>
    </w:lvl>
  </w:abstractNum>
  <w:abstractNum w:abstractNumId="215">
    <w:nsid w:val="19B8A08E"/>
    <w:multiLevelType w:val="hybridMultilevel"/>
    <w:lvl w:ilvl="0">
      <w:lvlJc w:val="left"/>
      <w:lvlText w:val="(%1)"/>
      <w:numFmt w:val="decimal"/>
      <w:start w:val="2"/>
    </w:lvl>
  </w:abstractNum>
  <w:abstractNum w:abstractNumId="216">
    <w:nsid w:val="54B59621"/>
    <w:multiLevelType w:val="hybridMultilevel"/>
    <w:lvl w:ilvl="0">
      <w:lvlJc w:val="left"/>
      <w:lvlText w:val="(%1)"/>
      <w:numFmt w:val="upperLetter"/>
      <w:start w:val="5"/>
    </w:lvl>
  </w:abstractNum>
  <w:abstractNum w:abstractNumId="217">
    <w:nsid w:val="5992A02E"/>
    <w:multiLevelType w:val="hybridMultilevel"/>
    <w:lvl w:ilvl="0">
      <w:lvlJc w:val="left"/>
      <w:lvlText w:val="(%1)"/>
      <w:numFmt w:val="upperLetter"/>
      <w:start w:val="7"/>
    </w:lvl>
  </w:abstractNum>
  <w:abstractNum w:abstractNumId="218">
    <w:nsid w:val="29EF532D"/>
    <w:multiLevelType w:val="hybridMultilevel"/>
    <w:lvl w:ilvl="0">
      <w:lvlJc w:val="left"/>
      <w:lvlText w:val="(%1)"/>
      <w:numFmt w:val="decimal"/>
      <w:start w:val="2"/>
    </w:lvl>
    <w:lvl w:ilvl="1">
      <w:lvlJc w:val="left"/>
      <w:lvlText w:val="(%2)"/>
      <w:numFmt w:val="lowerLetter"/>
      <w:start w:val="1"/>
    </w:lvl>
  </w:abstractNum>
  <w:abstractNum w:abstractNumId="219">
    <w:nsid w:val="71D601AF"/>
    <w:multiLevelType w:val="hybridMultilevel"/>
    <w:lvl w:ilvl="0">
      <w:lvlJc w:val="left"/>
      <w:lvlText w:val="(%1)"/>
      <w:numFmt w:val="upperLetter"/>
      <w:start w:val="1"/>
    </w:lvl>
  </w:abstractNum>
  <w:abstractNum w:abstractNumId="220">
    <w:nsid w:val="52C7740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21">
    <w:nsid w:val="2BB5B1C6"/>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lvl w:ilvl="3">
      <w:lvlJc w:val="left"/>
      <w:lvlText w:val="(%4)"/>
      <w:numFmt w:val="upperLetter"/>
      <w:start w:val="9"/>
    </w:lvl>
  </w:abstractNum>
  <w:abstractNum w:abstractNumId="222">
    <w:nsid w:val="66BE6B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5"/>
    </w:lvl>
  </w:abstractNum>
  <w:abstractNum w:abstractNumId="223">
    <w:nsid w:val="62234363"/>
    <w:multiLevelType w:val="hybridMultilevel"/>
    <w:lvl w:ilvl="0">
      <w:lvlJc w:val="left"/>
      <w:lvlText w:val="(%1)"/>
      <w:numFmt w:val="lowerLetter"/>
      <w:start w:val="35"/>
    </w:lvl>
    <w:lvl w:ilvl="1">
      <w:lvlJc w:val="left"/>
      <w:lvlText w:val="(%2)"/>
      <w:numFmt w:val="lowerLetter"/>
      <w:start w:val="5"/>
    </w:lvl>
    <w:lvl w:ilvl="2">
      <w:lvlJc w:val="left"/>
      <w:lvlText w:val="%3"/>
      <w:numFmt w:val="upperLetter"/>
      <w:start w:val="1"/>
    </w:lvl>
  </w:abstractNum>
  <w:abstractNum w:abstractNumId="224">
    <w:nsid w:val="66D385C9"/>
    <w:multiLevelType w:val="hybridMultilevel"/>
    <w:lvl w:ilvl="0">
      <w:lvlJc w:val="left"/>
      <w:lvlText w:val="(%1)"/>
      <w:numFmt w:val="lowerLetter"/>
      <w:start w:val="8"/>
    </w:lvl>
  </w:abstractNum>
  <w:abstractNum w:abstractNumId="225">
    <w:nsid w:val="596F6D8A"/>
    <w:multiLevelType w:val="hybridMultilevel"/>
    <w:lvl w:ilvl="0">
      <w:lvlJc w:val="left"/>
      <w:lvlText w:val="(%1)"/>
      <w:numFmt w:val="decimal"/>
      <w:start w:val="1"/>
    </w:lvl>
    <w:lvl w:ilvl="1">
      <w:lvlJc w:val="left"/>
      <w:lvlText w:val="(%2)"/>
      <w:numFmt w:val="lowerLetter"/>
      <w:start w:val="1"/>
    </w:lvl>
  </w:abstractNum>
  <w:abstractNum w:abstractNumId="226">
    <w:nsid w:val="5749361F"/>
    <w:multiLevelType w:val="hybridMultilevel"/>
    <w:lvl w:ilvl="0">
      <w:lvlJc w:val="left"/>
      <w:lvlText w:val="(%1)"/>
      <w:numFmt w:val="decimal"/>
      <w:start w:val="2"/>
    </w:lvl>
  </w:abstractNum>
  <w:abstractNum w:abstractNumId="227">
    <w:nsid w:val="73BC6770"/>
    <w:multiLevelType w:val="hybridMultilevel"/>
    <w:lvl w:ilvl="0">
      <w:lvlJc w:val="left"/>
      <w:lvlText w:val="(%1)"/>
      <w:numFmt w:val="decimal"/>
      <w:start w:val="1"/>
    </w:lvl>
  </w:abstractNum>
  <w:abstractNum w:abstractNumId="228">
    <w:nsid w:val="280E6897"/>
    <w:multiLevelType w:val="hybridMultilevel"/>
    <w:lvl w:ilvl="0">
      <w:lvlJc w:val="left"/>
      <w:lvlText w:val="(%1)"/>
      <w:numFmt w:val="decimal"/>
      <w:start w:val="2"/>
    </w:lvl>
  </w:abstractNum>
  <w:abstractNum w:abstractNumId="229">
    <w:nsid w:val="605138DE"/>
    <w:multiLevelType w:val="hybridMultilevel"/>
    <w:lvl w:ilvl="0">
      <w:lvlJc w:val="left"/>
      <w:lvlText w:val="(%1)"/>
      <w:numFmt w:val="decimal"/>
      <w:start w:val="1"/>
    </w:lvl>
  </w:abstractNum>
  <w:abstractNum w:abstractNumId="230">
    <w:nsid w:val="2622AD0C"/>
    <w:multiLevelType w:val="hybridMultilevel"/>
    <w:lvl w:ilvl="0">
      <w:lvlJc w:val="left"/>
      <w:lvlText w:val="(%1)"/>
      <w:numFmt w:val="decimal"/>
      <w:start w:val="1"/>
    </w:lvl>
  </w:abstractNum>
  <w:abstractNum w:abstractNumId="231">
    <w:nsid w:val="67997556"/>
    <w:multiLevelType w:val="hybridMultilevel"/>
    <w:lvl w:ilvl="0">
      <w:lvlJc w:val="left"/>
      <w:lvlText w:val="(%1)"/>
      <w:numFmt w:val="decimal"/>
      <w:start w:val="2"/>
    </w:lvl>
  </w:abstractNum>
  <w:abstractNum w:abstractNumId="232">
    <w:nsid w:val="18333C89"/>
    <w:multiLevelType w:val="hybridMultilevel"/>
    <w:lvl w:ilvl="0">
      <w:lvlJc w:val="left"/>
      <w:lvlText w:val="(%1)"/>
      <w:numFmt w:val="decimal"/>
      <w:start w:val="1"/>
    </w:lvl>
  </w:abstractNum>
  <w:abstractNum w:abstractNumId="233">
    <w:nsid w:val="4BA9831A"/>
    <w:multiLevelType w:val="hybridMultilevel"/>
    <w:lvl w:ilvl="0">
      <w:lvlJc w:val="left"/>
      <w:lvlText w:val="(%1)"/>
      <w:numFmt w:val="decimal"/>
      <w:start w:val="1"/>
    </w:lvl>
    <w:lvl w:ilvl="1">
      <w:lvlJc w:val="left"/>
      <w:lvlText w:val="(%2)"/>
      <w:numFmt w:val="lowerLetter"/>
      <w:start w:val="1"/>
    </w:lvl>
  </w:abstractNum>
  <w:abstractNum w:abstractNumId="234">
    <w:nsid w:val="6D71A2B"/>
    <w:multiLevelType w:val="hybridMultilevel"/>
    <w:lvl w:ilvl="0">
      <w:lvlJc w:val="left"/>
      <w:lvlText w:val="(%1)"/>
      <w:numFmt w:val="lowerLetter"/>
      <w:start w:val="3"/>
    </w:lvl>
  </w:abstractNum>
  <w:abstractNum w:abstractNumId="235">
    <w:nsid w:val="CFC7321"/>
    <w:multiLevelType w:val="hybridMultilevel"/>
    <w:lvl w:ilvl="0">
      <w:lvlJc w:val="left"/>
      <w:lvlText w:val="(%1)"/>
      <w:numFmt w:val="decimal"/>
      <w:start w:val="1"/>
    </w:lvl>
  </w:abstractNum>
  <w:abstractNum w:abstractNumId="236">
    <w:nsid w:val="1421971B"/>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37">
    <w:nsid w:val="1F404301"/>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238">
    <w:nsid w:val="116E090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39">
    <w:nsid w:val="4B683D0D"/>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240">
    <w:nsid w:val="76E41D8"/>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41">
    <w:nsid w:val="71DCE0FD"/>
    <w:multiLevelType w:val="hybridMultilevel"/>
    <w:lvl w:ilvl="0">
      <w:lvlJc w:val="left"/>
      <w:lvlText w:val="(%1)"/>
      <w:numFmt w:val="lowerRoman"/>
      <w:start w:val="2"/>
    </w:lvl>
    <w:lvl w:ilvl="1">
      <w:lvlJc w:val="left"/>
      <w:lvlText w:val="(%2)"/>
      <w:numFmt w:val="upperLetter"/>
      <w:start w:val="9"/>
    </w:lvl>
  </w:abstractNum>
  <w:abstractNum w:abstractNumId="242">
    <w:nsid w:val="7906328B"/>
    <w:multiLevelType w:val="hybridMultilevel"/>
    <w:lvl w:ilvl="0">
      <w:lvlJc w:val="left"/>
      <w:lvlText w:val="(%1)"/>
      <w:numFmt w:val="upperLetter"/>
      <w:start w:val="35"/>
    </w:lvl>
  </w:abstractNum>
  <w:abstractNum w:abstractNumId="243">
    <w:nsid w:val="72BBC16"/>
    <w:multiLevelType w:val="hybridMultilevel"/>
    <w:lvl w:ilvl="0">
      <w:lvlJc w:val="left"/>
      <w:lvlText w:val="(%1)"/>
      <w:numFmt w:val="upperLetter"/>
      <w:start w:val="61"/>
    </w:lvl>
  </w:abstractNum>
  <w:abstractNum w:abstractNumId="244">
    <w:nsid w:val="766D98C2"/>
    <w:multiLevelType w:val="hybridMultilevel"/>
    <w:lvl w:ilvl="0">
      <w:lvlJc w:val="left"/>
      <w:lvlText w:val="(%1)"/>
      <w:numFmt w:val="decimal"/>
      <w:start w:val="5"/>
    </w:lvl>
  </w:abstractNum>
  <w:abstractNum w:abstractNumId="245">
    <w:nsid w:val="3C09D4A1"/>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46">
    <w:nsid w:val="20E45CA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47">
    <w:nsid w:val="4B232EE3"/>
    <w:multiLevelType w:val="hybridMultilevel"/>
    <w:lvl w:ilvl="0">
      <w:lvlJc w:val="left"/>
      <w:lvlText w:val="(%1)"/>
      <w:numFmt w:val="upperLetter"/>
      <w:start w:val="35"/>
    </w:lvl>
    <w:lvl w:ilvl="1">
      <w:lvlJc w:val="left"/>
      <w:lvlText w:val="(%2)"/>
      <w:numFmt w:val="lowerRoman"/>
      <w:start w:val="2"/>
    </w:lvl>
    <w:lvl w:ilvl="2">
      <w:lvlJc w:val="left"/>
      <w:lvlText w:val="%3"/>
      <w:numFmt w:val="lowerLetter"/>
      <w:start w:val="1"/>
    </w:lvl>
  </w:abstractNum>
  <w:abstractNum w:abstractNumId="248">
    <w:nsid w:val="159C74CF"/>
    <w:multiLevelType w:val="hybridMultilevel"/>
    <w:lvl w:ilvl="0">
      <w:lvlJc w:val="left"/>
      <w:lvlText w:val="(%1)"/>
      <w:numFmt w:val="lowerRoman"/>
      <w:start w:val="5"/>
    </w:lvl>
  </w:abstractNum>
  <w:abstractNum w:abstractNumId="249">
    <w:nsid w:val="4AD3AFD2"/>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250">
    <w:nsid w:val="3CF93092"/>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51">
    <w:nsid w:val="6863E8D2"/>
    <w:multiLevelType w:val="hybridMultilevel"/>
    <w:lvl w:ilvl="0">
      <w:lvlJc w:val="left"/>
      <w:lvlText w:val="(%1)"/>
      <w:numFmt w:val="upperLetter"/>
      <w:start w:val="35"/>
    </w:lvl>
    <w:lvl w:ilvl="1">
      <w:lvlJc w:val="left"/>
      <w:lvlText w:val="(%2)"/>
      <w:numFmt w:val="lowerRoman"/>
      <w:start w:val="2"/>
    </w:lvl>
    <w:lvl w:ilvl="2">
      <w:lvlJc w:val="left"/>
      <w:lvlText w:val="%3"/>
      <w:numFmt w:val="lowerLetter"/>
      <w:start w:val="1"/>
    </w:lvl>
  </w:abstractNum>
  <w:abstractNum w:abstractNumId="252">
    <w:nsid w:val="76896198"/>
    <w:multiLevelType w:val="hybridMultilevel"/>
    <w:lvl w:ilvl="0">
      <w:lvlJc w:val="left"/>
      <w:lvlText w:val="(%1)"/>
      <w:numFmt w:val="lowerRoman"/>
      <w:start w:val="4"/>
    </w:lvl>
  </w:abstractNum>
  <w:abstractNum w:abstractNumId="253">
    <w:nsid w:val="4365174B"/>
    <w:multiLevelType w:val="hybridMultilevel"/>
    <w:lvl w:ilvl="0">
      <w:lvlJc w:val="left"/>
      <w:lvlText w:val="%1"/>
      <w:numFmt w:val="decimal"/>
      <w:start w:val="1"/>
    </w:lvl>
    <w:lvl w:ilvl="1">
      <w:lvlJc w:val="left"/>
      <w:lvlText w:val="(%2)"/>
      <w:numFmt w:val="lowerLetter"/>
      <w:start w:val="3"/>
    </w:lvl>
  </w:abstractNum>
  <w:abstractNum w:abstractNumId="254">
    <w:nsid w:val="4A872C35"/>
    <w:multiLevelType w:val="hybridMultilevel"/>
    <w:lvl w:ilvl="0">
      <w:lvlJc w:val="left"/>
      <w:lvlText w:val="(%1)"/>
      <w:numFmt w:val="decimal"/>
      <w:start w:val="6"/>
    </w:lvl>
    <w:lvl w:ilvl="1">
      <w:lvlJc w:val="left"/>
      <w:lvlText w:val="%2"/>
      <w:numFmt w:val="lowerLetter"/>
      <w:start w:val="1"/>
    </w:lvl>
  </w:abstractNum>
  <w:abstractNum w:abstractNumId="255">
    <w:nsid w:val="5D5CE761"/>
    <w:multiLevelType w:val="hybridMultilevel"/>
    <w:lvl w:ilvl="0">
      <w:lvlJc w:val="left"/>
      <w:lvlText w:val="(%1)"/>
      <w:numFmt w:val="decimal"/>
      <w:start w:val="9"/>
    </w:lvl>
  </w:abstractNum>
  <w:abstractNum w:abstractNumId="256">
    <w:nsid w:val="1CD484D5"/>
    <w:multiLevelType w:val="hybridMultilevel"/>
    <w:lvl w:ilvl="0">
      <w:lvlJc w:val="left"/>
      <w:lvlText w:val="(%1)"/>
      <w:numFmt w:val="decimal"/>
      <w:start w:val="1"/>
    </w:lvl>
  </w:abstractNum>
  <w:abstractNum w:abstractNumId="257">
    <w:nsid w:val="21D06255"/>
    <w:multiLevelType w:val="hybridMultilevel"/>
    <w:lvl w:ilvl="0">
      <w:lvlJc w:val="left"/>
      <w:lvlText w:val="(%1)"/>
      <w:numFmt w:val="decimal"/>
      <w:start w:val="2"/>
    </w:lvl>
  </w:abstractNum>
  <w:abstractNum w:abstractNumId="258">
    <w:nsid w:val="51194ED1"/>
    <w:multiLevelType w:val="hybridMultilevel"/>
    <w:lvl w:ilvl="0">
      <w:lvlJc w:val="left"/>
      <w:lvlText w:val="%1"/>
      <w:numFmt w:val="lowerRoman"/>
      <w:start w:val="1"/>
    </w:lvl>
    <w:lvl w:ilvl="1">
      <w:lvlJc w:val="left"/>
      <w:lvlText w:val="(%2)"/>
      <w:numFmt w:val="decimal"/>
      <w:start w:val="1"/>
    </w:lvl>
  </w:abstractNum>
  <w:abstractNum w:abstractNumId="259">
    <w:nsid w:val="44E2ED6C"/>
    <w:multiLevelType w:val="hybridMultilevel"/>
    <w:lvl w:ilvl="0">
      <w:lvlJc w:val="left"/>
      <w:lvlText w:val="(%1)"/>
      <w:numFmt w:val="lowerRoman"/>
      <w:start w:val="2"/>
    </w:lvl>
    <w:lvl w:ilvl="1">
      <w:lvlJc w:val="left"/>
      <w:lvlText w:val="%2"/>
      <w:numFmt w:val="decimal"/>
      <w:start w:val="1"/>
    </w:lvl>
  </w:abstractNum>
  <w:abstractNum w:abstractNumId="260">
    <w:nsid w:val="2219B33"/>
    <w:multiLevelType w:val="hybridMultilevel"/>
    <w:lvl w:ilvl="0">
      <w:lvlJc w:val="left"/>
      <w:lvlText w:val="(%1)"/>
      <w:numFmt w:val="decimal"/>
      <w:start w:val="2"/>
    </w:lvl>
  </w:abstractNum>
  <w:abstractNum w:abstractNumId="261">
    <w:nsid w:val="773BFBDD"/>
    <w:multiLevelType w:val="hybridMultilevel"/>
    <w:lvl w:ilvl="0">
      <w:lvlJc w:val="left"/>
      <w:lvlText w:val="(%1)"/>
      <w:numFmt w:val="decimal"/>
      <w:start w:val="3"/>
    </w:lvl>
  </w:abstractNum>
  <w:abstractNum w:abstractNumId="262">
    <w:nsid w:val="2C7C62C2"/>
    <w:multiLevelType w:val="hybridMultilevel"/>
    <w:lvl w:ilvl="0">
      <w:lvlJc w:val="left"/>
      <w:lvlText w:val="(%1)"/>
      <w:numFmt w:val="decimal"/>
      <w:start w:val="5"/>
    </w:lvl>
  </w:abstractNum>
  <w:abstractNum w:abstractNumId="263">
    <w:nsid w:val="1A54D7BC"/>
    <w:multiLevelType w:val="hybridMultilevel"/>
    <w:lvl w:ilvl="0">
      <w:lvlJc w:val="left"/>
      <w:lvlText w:val="(%1)"/>
      <w:numFmt w:val="decimal"/>
      <w:start w:val="6"/>
    </w:lvl>
  </w:abstractNum>
  <w:abstractNum w:abstractNumId="264">
    <w:nsid w:val="42E57EF7"/>
    <w:multiLevelType w:val="hybridMultilevel"/>
    <w:lvl w:ilvl="0">
      <w:lvlJc w:val="left"/>
      <w:lvlText w:val="(%1)"/>
      <w:numFmt w:val="decimal"/>
      <w:start w:val="1"/>
    </w:lvl>
    <w:lvl w:ilvl="1">
      <w:lvlJc w:val="left"/>
      <w:lvlText w:val="(%2)"/>
      <w:numFmt w:val="lowerLetter"/>
      <w:start w:val="1"/>
    </w:lvl>
  </w:abstractNum>
  <w:abstractNum w:abstractNumId="265">
    <w:nsid w:val="33537CED"/>
    <w:multiLevelType w:val="hybridMultilevel"/>
    <w:lvl w:ilvl="0">
      <w:lvlJc w:val="left"/>
      <w:lvlText w:val="(%1)"/>
      <w:numFmt w:val="lowerLetter"/>
      <w:start w:val="3"/>
    </w:lvl>
  </w:abstractNum>
  <w:abstractNum w:abstractNumId="266">
    <w:nsid w:val="27514ADE"/>
    <w:multiLevelType w:val="hybridMultilevel"/>
    <w:lvl w:ilvl="0">
      <w:lvlJc w:val="left"/>
      <w:lvlText w:val="(%1)"/>
      <w:numFmt w:val="decimal"/>
      <w:start w:val="2"/>
    </w:lvl>
  </w:abstractNum>
  <w:abstractNum w:abstractNumId="267">
    <w:nsid w:val="57071613"/>
    <w:multiLevelType w:val="hybridMultilevel"/>
    <w:lvl w:ilvl="0">
      <w:lvlJc w:val="left"/>
      <w:lvlText w:val="(%1)"/>
      <w:numFmt w:val="decimal"/>
      <w:start w:val="1"/>
    </w:lvl>
    <w:lvl w:ilvl="1">
      <w:lvlJc w:val="left"/>
      <w:lvlText w:val="(%2)"/>
      <w:numFmt w:val="lowerLetter"/>
      <w:start w:val="1"/>
    </w:lvl>
  </w:abstractNum>
  <w:abstractNum w:abstractNumId="268">
    <w:nsid w:val="5293BFEF"/>
    <w:multiLevelType w:val="hybridMultilevel"/>
    <w:lvl w:ilvl="0">
      <w:lvlJc w:val="left"/>
      <w:lvlText w:val="%1"/>
      <w:numFmt w:val="decimal"/>
      <w:start w:val="1"/>
    </w:lvl>
    <w:lvl w:ilvl="1">
      <w:lvlJc w:val="left"/>
      <w:lvlText w:val="(%2)"/>
      <w:numFmt w:val="lowerLetter"/>
      <w:start w:val="3"/>
    </w:lvl>
  </w:abstractNum>
  <w:abstractNum w:abstractNumId="269">
    <w:nsid w:val="38BF53E5"/>
    <w:multiLevelType w:val="hybridMultilevel"/>
    <w:lvl w:ilvl="0">
      <w:lvlJc w:val="left"/>
      <w:lvlText w:val="(%1)"/>
      <w:numFmt w:val="decimal"/>
      <w:start w:val="3"/>
    </w:lvl>
    <w:lvl w:ilvl="1">
      <w:lvlJc w:val="left"/>
      <w:lvlText w:val="%2"/>
      <w:numFmt w:val="lowerLetter"/>
      <w:start w:val="1"/>
    </w:lvl>
  </w:abstractNum>
  <w:abstractNum w:abstractNumId="270">
    <w:nsid w:val="226F5320"/>
    <w:multiLevelType w:val="hybridMultilevel"/>
    <w:lvl w:ilvl="0">
      <w:lvlJc w:val="left"/>
      <w:lvlText w:val="%1"/>
      <w:numFmt w:val="lowerRoman"/>
      <w:start w:val="1"/>
    </w:lvl>
    <w:lvl w:ilvl="1">
      <w:lvlJc w:val="left"/>
      <w:lvlText w:val="(%2)"/>
      <w:numFmt w:val="lowerLetter"/>
      <w:start w:val="1"/>
    </w:lvl>
  </w:abstractNum>
  <w:abstractNum w:abstractNumId="271">
    <w:nsid w:val="5A0201C7"/>
    <w:multiLevelType w:val="hybridMultilevel"/>
    <w:lvl w:ilvl="0">
      <w:lvlJc w:val="left"/>
      <w:lvlText w:val="(%1)"/>
      <w:numFmt w:val="lowerRoman"/>
      <w:start w:val="1"/>
    </w:lvl>
    <w:lvl w:ilvl="1">
      <w:lvlJc w:val="left"/>
      <w:lvlText w:val="%2"/>
      <w:numFmt w:val="lowerLetter"/>
      <w:start w:val="1"/>
    </w:lvl>
  </w:abstractNum>
  <w:abstractNum w:abstractNumId="272">
    <w:nsid w:val="2A9C34E2"/>
    <w:multiLevelType w:val="hybridMultilevel"/>
    <w:lvl w:ilvl="0">
      <w:lvlJc w:val="left"/>
      <w:lvlText w:val="(%1)"/>
      <w:numFmt w:val="lowerRoman"/>
      <w:start w:val="4"/>
    </w:lvl>
    <w:lvl w:ilvl="1">
      <w:lvlJc w:val="left"/>
      <w:lvlText w:val="(%2)"/>
      <w:numFmt w:val="lowerLetter"/>
      <w:start w:val="3"/>
    </w:lvl>
  </w:abstractNum>
  <w:abstractNum w:abstractNumId="273">
    <w:nsid w:val="1B7585AB"/>
    <w:multiLevelType w:val="hybridMultilevel"/>
    <w:lvl w:ilvl="0">
      <w:lvlJc w:val="left"/>
      <w:lvlText w:val="(%1)"/>
      <w:numFmt w:val="decimal"/>
      <w:start w:val="4"/>
    </w:lvl>
  </w:abstractNum>
  <w:abstractNum w:abstractNumId="274">
    <w:nsid w:val="612DBDDD"/>
    <w:multiLevelType w:val="hybridMultilevel"/>
    <w:lvl w:ilvl="0">
      <w:lvlJc w:val="left"/>
      <w:lvlText w:val="(%1)"/>
      <w:numFmt w:val="decimal"/>
      <w:start w:val="6"/>
    </w:lvl>
  </w:abstractNum>
  <w:abstractNum w:abstractNumId="275">
    <w:nsid w:val="2109CDA4"/>
    <w:multiLevelType w:val="hybridMultilevel"/>
    <w:lvl w:ilvl="0">
      <w:lvlJc w:val="left"/>
      <w:lvlText w:val="(%1)"/>
      <w:numFmt w:val="decimal"/>
      <w:start w:val="9"/>
    </w:lvl>
  </w:abstractNum>
  <w:abstractNum w:abstractNumId="276">
    <w:nsid w:val="577F5A4D"/>
    <w:multiLevelType w:val="hybridMultilevel"/>
    <w:lvl w:ilvl="0">
      <w:lvlJc w:val="left"/>
      <w:lvlText w:val="(%1)"/>
      <w:numFmt w:val="lowerLetter"/>
      <w:start w:val="1"/>
    </w:lvl>
  </w:abstractNum>
  <w:abstractNum w:abstractNumId="277">
    <w:nsid w:val="2121A81"/>
    <w:multiLevelType w:val="hybridMultilevel"/>
    <w:lvl w:ilvl="0">
      <w:lvlJc w:val="left"/>
      <w:lvlText w:val="(%1)"/>
      <w:numFmt w:val="decimal"/>
      <w:start w:val="1"/>
    </w:lvl>
    <w:lvl w:ilvl="1">
      <w:lvlJc w:val="left"/>
      <w:lvlText w:val="(%2)"/>
      <w:numFmt w:val="lowerLetter"/>
      <w:start w:val="1"/>
    </w:lvl>
  </w:abstractNum>
  <w:abstractNum w:abstractNumId="278">
    <w:nsid w:val="6C2CFC88"/>
    <w:multiLevelType w:val="hybridMultilevel"/>
    <w:lvl w:ilvl="0">
      <w:lvlJc w:val="left"/>
      <w:lvlText w:val="(%1)"/>
      <w:numFmt w:val="decimal"/>
      <w:start w:val="2"/>
    </w:lvl>
  </w:abstractNum>
  <w:abstractNum w:abstractNumId="279">
    <w:nsid w:val="6D1BCF1C"/>
    <w:multiLevelType w:val="hybridMultilevel"/>
    <w:lvl w:ilvl="0">
      <w:lvlJc w:val="left"/>
      <w:lvlText w:val="(%1)"/>
      <w:numFmt w:val="decimal"/>
      <w:start w:val="3"/>
    </w:lvl>
  </w:abstractNum>
  <w:abstractNum w:abstractNumId="280">
    <w:nsid w:val="4CE5CA53"/>
    <w:multiLevelType w:val="hybridMultilevel"/>
    <w:lvl w:ilvl="0">
      <w:lvlJc w:val="left"/>
      <w:lvlText w:val="(%1)"/>
      <w:numFmt w:val="decimal"/>
      <w:start w:val="1"/>
    </w:lvl>
  </w:abstractNum>
  <w:abstractNum w:abstractNumId="281">
    <w:nsid w:val="29262D1A"/>
    <w:multiLevelType w:val="hybridMultilevel"/>
    <w:lvl w:ilvl="0">
      <w:lvlJc w:val="left"/>
      <w:lvlText w:val="(%1)"/>
      <w:numFmt w:val="decimal"/>
      <w:start w:val="1"/>
    </w:lvl>
  </w:abstractNum>
  <w:abstractNum w:abstractNumId="282">
    <w:nsid w:val="557FB7EE"/>
    <w:multiLevelType w:val="hybridMultilevel"/>
    <w:lvl w:ilvl="0">
      <w:lvlJc w:val="left"/>
      <w:lvlText w:val="(%1)"/>
      <w:numFmt w:val="decimal"/>
      <w:start w:val="3"/>
    </w:lvl>
  </w:abstractNum>
  <w:abstractNum w:abstractNumId="283">
    <w:nsid w:val="436F2BEB"/>
    <w:multiLevelType w:val="hybridMultilevel"/>
    <w:lvl w:ilvl="0">
      <w:lvlJc w:val="left"/>
      <w:lvlText w:val="%1"/>
      <w:numFmt w:val="lowerRoman"/>
      <w:start w:val="1"/>
    </w:lvl>
    <w:lvl w:ilvl="1">
      <w:lvlJc w:val="left"/>
      <w:lvlText w:val="(%2)"/>
      <w:numFmt w:val="lowerLetter"/>
      <w:start w:val="1"/>
    </w:lvl>
  </w:abstractNum>
  <w:abstractNum w:abstractNumId="284">
    <w:nsid w:val="6C8B4466"/>
    <w:multiLevelType w:val="hybridMultilevel"/>
    <w:lvl w:ilvl="0">
      <w:lvlJc w:val="left"/>
      <w:lvlText w:val="(%1)"/>
      <w:numFmt w:val="lowerRoman"/>
      <w:start w:val="1"/>
    </w:lvl>
    <w:lvl w:ilvl="1">
      <w:lvlJc w:val="left"/>
      <w:lvlText w:val="%2"/>
      <w:numFmt w:val="lowerLetter"/>
      <w:start w:val="1"/>
    </w:lvl>
  </w:abstractNum>
  <w:abstractNum w:abstractNumId="285">
    <w:nsid w:val="2006E424"/>
    <w:multiLevelType w:val="hybridMultilevel"/>
    <w:lvl w:ilvl="0">
      <w:lvlJc w:val="left"/>
      <w:lvlText w:val="(%1)"/>
      <w:numFmt w:val="lowerRoman"/>
      <w:start w:val="3"/>
    </w:lvl>
    <w:lvl w:ilvl="1">
      <w:lvlJc w:val="left"/>
      <w:lvlText w:val="(%2)"/>
      <w:numFmt w:val="lowerLetter"/>
      <w:start w:val="2"/>
    </w:lvl>
  </w:abstractNum>
  <w:abstractNum w:abstractNumId="286">
    <w:nsid w:val="20CC134C"/>
    <w:multiLevelType w:val="hybridMultilevel"/>
    <w:lvl w:ilvl="0">
      <w:lvlJc w:val="left"/>
      <w:lvlText w:val="(%1)"/>
      <w:numFmt w:val="decimal"/>
      <w:start w:val="1"/>
    </w:lvl>
    <w:lvl w:ilvl="1">
      <w:lvlJc w:val="left"/>
      <w:lvlText w:val="(%2)"/>
      <w:numFmt w:val="lowerLetter"/>
      <w:start w:val="1"/>
    </w:lvl>
  </w:abstractNum>
  <w:abstractNum w:abstractNumId="287">
    <w:nsid w:val="95FC93B"/>
    <w:multiLevelType w:val="hybridMultilevel"/>
    <w:lvl w:ilvl="0">
      <w:lvlJc w:val="left"/>
      <w:lvlText w:val="(%1)"/>
      <w:numFmt w:val="lowerRoman"/>
      <w:start w:val="1"/>
    </w:lvl>
    <w:lvl w:ilvl="1">
      <w:lvlJc w:val="left"/>
      <w:lvlText w:val="(%2)"/>
      <w:numFmt w:val="lowerLetter"/>
      <w:start w:val="5"/>
    </w:lvl>
  </w:abstractNum>
  <w:abstractNum w:abstractNumId="288">
    <w:nsid w:val="41D74679"/>
    <w:multiLevelType w:val="hybridMultilevel"/>
    <w:lvl w:ilvl="0">
      <w:lvlJc w:val="left"/>
      <w:lvlText w:val="%1"/>
      <w:numFmt w:val="decimal"/>
      <w:start w:val="1"/>
    </w:lvl>
    <w:lvl w:ilvl="1">
      <w:lvlJc w:val="left"/>
      <w:lvlText w:val="(%2)"/>
      <w:numFmt w:val="lowerLetter"/>
      <w:start w:val="6"/>
    </w:lvl>
  </w:abstractNum>
  <w:abstractNum w:abstractNumId="289">
    <w:nsid w:val="71E5621E"/>
    <w:multiLevelType w:val="hybridMultilevel"/>
    <w:lvl w:ilvl="0">
      <w:lvlJc w:val="left"/>
      <w:lvlText w:val="(%1)"/>
      <w:numFmt w:val="decimal"/>
      <w:start w:val="2"/>
    </w:lvl>
    <w:lvl w:ilvl="1">
      <w:lvlJc w:val="left"/>
      <w:lvlText w:val="%2"/>
      <w:numFmt w:val="lowerLetter"/>
      <w:start w:val="1"/>
    </w:lvl>
  </w:abstractNum>
  <w:abstractNum w:abstractNumId="290">
    <w:nsid w:val="4E42B6A8"/>
    <w:multiLevelType w:val="hybridMultilevel"/>
    <w:lvl w:ilvl="0">
      <w:lvlJc w:val="left"/>
      <w:lvlText w:val="(%1)"/>
      <w:numFmt w:val="decimal"/>
      <w:start w:val="1"/>
    </w:lvl>
  </w:abstractNum>
  <w:abstractNum w:abstractNumId="291">
    <w:nsid w:val="43F8E1AC"/>
    <w:multiLevelType w:val="hybridMultilevel"/>
    <w:lvl w:ilvl="0">
      <w:lvlJc w:val="left"/>
      <w:lvlText w:val="(%1)"/>
      <w:numFmt w:val="decimal"/>
      <w:start w:val="1"/>
    </w:lvl>
  </w:abstractNum>
  <w:abstractNum w:abstractNumId="292">
    <w:nsid w:val="69215DFB"/>
    <w:multiLevelType w:val="hybridMultilevel"/>
    <w:lvl w:ilvl="0">
      <w:lvlJc w:val="left"/>
      <w:lvlText w:val="(%1)"/>
      <w:numFmt w:val="decimal"/>
      <w:start w:val="1"/>
    </w:lvl>
    <w:lvl w:ilvl="1">
      <w:lvlJc w:val="left"/>
      <w:lvlText w:val="(%2)"/>
      <w:numFmt w:val="lowerLetter"/>
      <w:start w:val="1"/>
    </w:lvl>
  </w:abstractNum>
  <w:abstractNum w:abstractNumId="293">
    <w:nsid w:val="7ABF196A"/>
    <w:multiLevelType w:val="hybridMultilevel"/>
    <w:lvl w:ilvl="0">
      <w:lvlJc w:val="left"/>
      <w:lvlText w:val="(%1)"/>
      <w:numFmt w:val="decimal"/>
      <w:start w:val="1"/>
    </w:lvl>
    <w:lvl w:ilvl="1">
      <w:lvlJc w:val="left"/>
      <w:lvlText w:val="(%2)"/>
      <w:numFmt w:val="lowerLetter"/>
      <w:start w:val="1"/>
    </w:lvl>
  </w:abstractNum>
  <w:abstractNum w:abstractNumId="294">
    <w:nsid w:val="5E4DB968"/>
    <w:multiLevelType w:val="hybridMultilevel"/>
    <w:lvl w:ilvl="0">
      <w:lvlJc w:val="left"/>
      <w:lvlText w:val="(%1)"/>
      <w:numFmt w:val="decimal"/>
      <w:start w:val="1"/>
    </w:lvl>
  </w:abstractNum>
  <w:abstractNum w:abstractNumId="295">
    <w:nsid w:val="2C06DCF3"/>
    <w:multiLevelType w:val="hybridMultilevel"/>
    <w:lvl w:ilvl="0">
      <w:lvlJc w:val="left"/>
      <w:lvlText w:val="(%1)"/>
      <w:numFmt w:val="decimal"/>
      <w:start w:val="1"/>
    </w:lvl>
  </w:abstractNum>
  <w:abstractNum w:abstractNumId="296">
    <w:nsid w:val="2E129658"/>
    <w:multiLevelType w:val="hybridMultilevel"/>
    <w:lvl w:ilvl="0">
      <w:lvlJc w:val="left"/>
      <w:lvlText w:val="(%1)"/>
      <w:numFmt w:val="decimal"/>
      <w:start w:val="2"/>
    </w:lvl>
  </w:abstractNum>
  <w:abstractNum w:abstractNumId="297">
    <w:nsid w:val="59F0446"/>
    <w:multiLevelType w:val="hybridMultilevel"/>
    <w:lvl w:ilvl="0">
      <w:lvlJc w:val="left"/>
      <w:lvlText w:val="(%1)"/>
      <w:numFmt w:val="decimal"/>
      <w:start w:val="1"/>
    </w:lvl>
    <w:lvl w:ilvl="1">
      <w:lvlJc w:val="left"/>
      <w:lvlText w:val="(%2)"/>
      <w:numFmt w:val="lowerLetter"/>
      <w:start w:val="1"/>
    </w:lvl>
  </w:abstractNum>
  <w:abstractNum w:abstractNumId="298">
    <w:nsid w:val="30DF306"/>
    <w:multiLevelType w:val="hybridMultilevel"/>
    <w:lvl w:ilvl="0">
      <w:lvlJc w:val="left"/>
      <w:lvlText w:val="(%1)"/>
      <w:numFmt w:val="decimal"/>
      <w:start w:val="1"/>
    </w:lvl>
  </w:abstractNum>
  <w:abstractNum w:abstractNumId="299">
    <w:nsid w:val="A65647"/>
    <w:multiLevelType w:val="hybridMultilevel"/>
    <w:lvl w:ilvl="0">
      <w:lvlJc w:val="left"/>
      <w:lvlText w:val="§§"/>
      <w:numFmt w:val="bullet"/>
      <w:start w:val="1"/>
    </w:lvl>
    <w:lvl w:ilvl="1">
      <w:lvlJc w:val="left"/>
      <w:lvlText w:val="(%2)"/>
      <w:numFmt w:val="decimal"/>
      <w:start w:val="1"/>
    </w:lvl>
  </w:abstractNum>
  <w:abstractNum w:abstractNumId="300">
    <w:nsid w:val="3E5E582B"/>
    <w:multiLevelType w:val="hybridMultilevel"/>
    <w:lvl w:ilvl="0">
      <w:lvlJc w:val="left"/>
      <w:lvlText w:val="§§"/>
      <w:numFmt w:val="bullet"/>
      <w:start w:val="1"/>
    </w:lvl>
    <w:lvl w:ilvl="1">
      <w:lvlJc w:val="left"/>
      <w:lvlText w:val="(%2)"/>
      <w:numFmt w:val="decimal"/>
      <w:start w:val="4"/>
    </w:lvl>
  </w:abstractNum>
  <w:abstractNum w:abstractNumId="301">
    <w:nsid w:val="257D4626"/>
    <w:multiLevelType w:val="hybridMultilevel"/>
    <w:lvl w:ilvl="0">
      <w:lvlJc w:val="left"/>
      <w:lvlText w:val="(%1)"/>
      <w:numFmt w:val="decimal"/>
      <w:start w:val="1"/>
    </w:lvl>
  </w:abstractNum>
  <w:abstractNum w:abstractNumId="302">
    <w:nsid w:val="5AA8580E"/>
    <w:multiLevelType w:val="hybridMultilevel"/>
    <w:lvl w:ilvl="0">
      <w:lvlJc w:val="left"/>
      <w:lvlText w:val="(%1)"/>
      <w:numFmt w:val="decimal"/>
      <w:start w:val="4"/>
    </w:lvl>
  </w:abstractNum>
  <w:abstractNum w:abstractNumId="303">
    <w:nsid w:val="68FA8D0D"/>
    <w:multiLevelType w:val="hybridMultilevel"/>
    <w:lvl w:ilvl="0">
      <w:lvlJc w:val="left"/>
      <w:lvlText w:val="(%1)"/>
      <w:numFmt w:val="decimal"/>
      <w:start w:val="1"/>
    </w:lvl>
  </w:abstractNum>
  <w:abstractNum w:abstractNumId="304">
    <w:nsid w:val="40F2CBD2"/>
    <w:multiLevelType w:val="hybridMultilevel"/>
    <w:lvl w:ilvl="0">
      <w:lvlJc w:val="left"/>
      <w:lvlText w:val="(%1)"/>
      <w:numFmt w:val="decimal"/>
      <w:start w:val="4"/>
    </w:lvl>
  </w:abstractNum>
  <w:abstractNum w:abstractNumId="305">
    <w:nsid w:val="3BD615EB"/>
    <w:multiLevelType w:val="hybridMultilevel"/>
    <w:lvl w:ilvl="0">
      <w:lvlJc w:val="left"/>
      <w:lvlText w:val="(%1)"/>
      <w:numFmt w:val="decimal"/>
      <w:start w:val="1"/>
    </w:lvl>
  </w:abstractNum>
  <w:abstractNum w:abstractNumId="306">
    <w:nsid w:val="A045AB2"/>
    <w:multiLevelType w:val="hybridMultilevel"/>
    <w:lvl w:ilvl="0">
      <w:lvlJc w:val="left"/>
      <w:lvlText w:val="(%1)"/>
      <w:numFmt w:val="decimal"/>
      <w:start w:val="2"/>
    </w:lvl>
  </w:abstractNum>
  <w:abstractNum w:abstractNumId="307">
    <w:nsid w:val="1872261F"/>
    <w:multiLevelType w:val="hybridMultilevel"/>
    <w:lvl w:ilvl="0">
      <w:lvlJc w:val="left"/>
      <w:lvlText w:val="%1"/>
      <w:numFmt w:val="lowerRoman"/>
      <w:start w:val="1"/>
    </w:lvl>
    <w:lvl w:ilvl="1">
      <w:lvlJc w:val="left"/>
      <w:lvlText w:val="(%2)"/>
      <w:numFmt w:val="decimal"/>
      <w:start w:val="1"/>
    </w:lvl>
  </w:abstractNum>
  <w:abstractNum w:abstractNumId="308">
    <w:nsid w:val="3DE8306C"/>
    <w:multiLevelType w:val="hybridMultilevel"/>
    <w:lvl w:ilvl="0">
      <w:lvlJc w:val="left"/>
      <w:lvlText w:val="(%1)"/>
      <w:numFmt w:val="lowerRoman"/>
      <w:start w:val="4"/>
    </w:lvl>
    <w:lvl w:ilvl="1">
      <w:lvlJc w:val="left"/>
      <w:lvlText w:val="%2"/>
      <w:numFmt w:val="decimal"/>
      <w:start w:val="1"/>
    </w:lvl>
  </w:abstractNum>
  <w:abstractNum w:abstractNumId="309">
    <w:nsid w:val="763157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10">
    <w:nsid w:val="58DF53B"/>
    <w:multiLevelType w:val="hybridMultilevel"/>
    <w:lvl w:ilvl="0">
      <w:lvlJc w:val="left"/>
      <w:lvlText w:val="(%1)"/>
      <w:numFmt w:val="decimal"/>
      <w:start w:val="2"/>
    </w:lvl>
    <w:lvl w:ilvl="1">
      <w:lvlJc w:val="left"/>
      <w:lvlText w:val="(%2)"/>
      <w:numFmt w:val="lowerLetter"/>
      <w:start w:val="24"/>
    </w:lvl>
    <w:lvl w:ilvl="2">
      <w:lvlJc w:val="left"/>
      <w:lvlText w:val="(%3)"/>
      <w:numFmt w:val="lowerLetter"/>
      <w:start w:val="9"/>
    </w:lvl>
  </w:abstractNum>
  <w:abstractNum w:abstractNumId="311">
    <w:nsid w:val="ACDFAC0"/>
    <w:multiLevelType w:val="hybridMultilevel"/>
    <w:lvl w:ilvl="0">
      <w:lvlJc w:val="left"/>
      <w:lvlText w:val="%1"/>
      <w:numFmt w:val="lowerLetter"/>
      <w:start w:val="1"/>
    </w:lvl>
    <w:lvl w:ilvl="1">
      <w:lvlJc w:val="left"/>
      <w:lvlText w:val="(%2)"/>
      <w:numFmt w:val="lowerLetter"/>
      <w:start w:val="35"/>
    </w:lvl>
  </w:abstractNum>
  <w:abstractNum w:abstractNumId="312">
    <w:nsid w:val="1F578454"/>
    <w:multiLevelType w:val="hybridMultilevel"/>
    <w:lvl w:ilvl="0">
      <w:lvlJc w:val="left"/>
      <w:lvlText w:val="(%1)"/>
      <w:numFmt w:val="lowerLetter"/>
      <w:start w:val="25"/>
    </w:lvl>
    <w:lvl w:ilvl="1">
      <w:lvlJc w:val="left"/>
      <w:lvlText w:val="(%2)"/>
      <w:numFmt w:val="lowerLetter"/>
      <w:start w:val="9"/>
    </w:lvl>
  </w:abstractNum>
  <w:abstractNum w:abstractNumId="313">
    <w:nsid w:val="5B0DAD2A"/>
    <w:multiLevelType w:val="hybridMultilevel"/>
    <w:lvl w:ilvl="0">
      <w:lvlJc w:val="left"/>
      <w:lvlText w:val="(%1)"/>
      <w:numFmt w:val="lowerRoman"/>
      <w:start w:val="2"/>
    </w:lvl>
  </w:abstractNum>
  <w:abstractNum w:abstractNumId="314">
    <w:nsid w:val="4E3D26AB"/>
    <w:multiLevelType w:val="hybridMultilevel"/>
    <w:lvl w:ilvl="0">
      <w:lvlJc w:val="left"/>
      <w:lvlText w:val="%1"/>
      <w:numFmt w:val="decimal"/>
      <w:start w:val="1"/>
    </w:lvl>
    <w:lvl w:ilvl="1">
      <w:lvlJc w:val="left"/>
      <w:lvlText w:val="(%2)"/>
      <w:numFmt w:val="lowerRoman"/>
      <w:start w:val="5"/>
    </w:lvl>
  </w:abstractNum>
  <w:abstractNum w:abstractNumId="315">
    <w:nsid w:val="BE2C8BA"/>
    <w:multiLevelType w:val="hybridMultilevel"/>
    <w:lvl w:ilvl="0">
      <w:lvlJc w:val="left"/>
      <w:lvlText w:val="(%1)"/>
      <w:numFmt w:val="decimal"/>
      <w:start w:val="3"/>
    </w:lvl>
    <w:lvl w:ilvl="1">
      <w:lvlJc w:val="left"/>
      <w:lvlText w:val="%2"/>
      <w:numFmt w:val="lowerRoman"/>
      <w:start w:val="1"/>
    </w:lvl>
  </w:abstractNum>
  <w:abstractNum w:abstractNumId="316">
    <w:nsid w:val="7B14914E"/>
    <w:multiLevelType w:val="hybridMultilevel"/>
    <w:lvl w:ilvl="0">
      <w:lvlJc w:val="left"/>
      <w:lvlText w:val="(%1)"/>
      <w:numFmt w:val="decimal"/>
      <w:start w:val="1"/>
    </w:lvl>
  </w:abstractNum>
  <w:abstractNum w:abstractNumId="317">
    <w:nsid w:val="6F0939F8"/>
    <w:multiLevelType w:val="hybridMultilevel"/>
    <w:lvl w:ilvl="0">
      <w:lvlJc w:val="left"/>
      <w:lvlText w:val="(%1)"/>
      <w:numFmt w:val="lowerRoman"/>
      <w:start w:val="10"/>
    </w:lvl>
  </w:abstractNum>
  <w:abstractNum w:abstractNumId="318">
    <w:nsid w:val="154291F6"/>
    <w:multiLevelType w:val="hybridMultilevel"/>
    <w:lvl w:ilvl="0">
      <w:lvlJc w:val="left"/>
      <w:lvlText w:val="(%1)"/>
      <w:numFmt w:val="decimal"/>
      <w:start w:val="1"/>
    </w:lvl>
    <w:lvl w:ilvl="1">
      <w:lvlJc w:val="left"/>
      <w:lvlText w:val="(%2)"/>
      <w:numFmt w:val="lowerLetter"/>
      <w:start w:val="1"/>
    </w:lvl>
  </w:abstractNum>
  <w:abstractNum w:abstractNumId="319">
    <w:nsid w:val="3CEBD7C7"/>
    <w:multiLevelType w:val="hybridMultilevel"/>
    <w:lvl w:ilvl="0">
      <w:lvlJc w:val="left"/>
      <w:lvlText w:val="(%1)"/>
      <w:numFmt w:val="lowerRoman"/>
      <w:start w:val="2"/>
    </w:lvl>
    <w:lvl w:ilvl="1">
      <w:lvlJc w:val="left"/>
      <w:lvlText w:val="(%2)"/>
      <w:numFmt w:val="lowerLetter"/>
      <w:start w:val="4"/>
    </w:lvl>
  </w:abstractNum>
  <w:abstractNum w:abstractNumId="320">
    <w:nsid w:val="60EE9C16"/>
    <w:multiLevelType w:val="hybridMultilevel"/>
    <w:lvl w:ilvl="0">
      <w:lvlJc w:val="left"/>
      <w:lvlText w:val="(%1)"/>
      <w:numFmt w:val="lowerLetter"/>
      <w:start w:val="8"/>
    </w:lvl>
  </w:abstractNum>
  <w:abstractNum w:abstractNumId="321">
    <w:nsid w:val="6385489E"/>
    <w:multiLevelType w:val="hybridMultilevel"/>
    <w:lvl w:ilvl="0">
      <w:lvlJc w:val="left"/>
      <w:lvlText w:val="(%1)"/>
      <w:numFmt w:val="lowerLetter"/>
      <w:start w:val="15"/>
    </w:lvl>
  </w:abstractNum>
  <w:abstractNum w:abstractNumId="322">
    <w:nsid w:val="E4B973"/>
    <w:multiLevelType w:val="hybridMultilevel"/>
    <w:lvl w:ilvl="0">
      <w:lvlJc w:val="left"/>
      <w:lvlText w:val="(%1)"/>
      <w:numFmt w:val="lowerLetter"/>
      <w:start w:val="23"/>
    </w:lvl>
  </w:abstractNum>
  <w:abstractNum w:abstractNumId="323">
    <w:nsid w:val="4A0FFA11"/>
    <w:multiLevelType w:val="hybridMultilevel"/>
    <w:lvl w:ilvl="0">
      <w:lvlJc w:val="left"/>
      <w:lvlText w:val="(%1)"/>
      <w:numFmt w:val="lowerLetter"/>
      <w:start w:val="27"/>
    </w:lvl>
  </w:abstractNum>
  <w:abstractNum w:abstractNumId="324">
    <w:nsid w:val="5E446208"/>
    <w:multiLevelType w:val="hybridMultilevel"/>
    <w:lvl w:ilvl="0">
      <w:lvlJc w:val="left"/>
      <w:lvlText w:val="(%1)"/>
      <w:numFmt w:val="decimal"/>
      <w:start w:val="1"/>
    </w:lvl>
    <w:lvl w:ilvl="1">
      <w:lvlJc w:val="left"/>
      <w:lvlText w:val="(%2)"/>
      <w:numFmt w:val="lowerLetter"/>
      <w:start w:val="1"/>
    </w:lvl>
  </w:abstractNum>
  <w:abstractNum w:abstractNumId="325">
    <w:nsid w:val="5F3272DB"/>
    <w:multiLevelType w:val="hybridMultilevel"/>
    <w:lvl w:ilvl="0">
      <w:lvlJc w:val="left"/>
      <w:lvlText w:val="(%1)"/>
      <w:numFmt w:val="lowerLetter"/>
      <w:start w:val="1"/>
    </w:lvl>
  </w:abstractNum>
  <w:abstractNum w:abstractNumId="326">
    <w:nsid w:val="7616D704"/>
    <w:multiLevelType w:val="hybridMultilevel"/>
    <w:lvl w:ilvl="0">
      <w:lvlJc w:val="left"/>
      <w:lvlText w:val="(%1)"/>
      <w:numFmt w:val="lowerRoman"/>
      <w:start w:val="1"/>
    </w:lvl>
  </w:abstractNum>
  <w:abstractNum w:abstractNumId="327">
    <w:nsid w:val="C56F860"/>
    <w:multiLevelType w:val="hybridMultilevel"/>
    <w:lvl w:ilvl="0">
      <w:lvlJc w:val="left"/>
      <w:lvlText w:val="(%1)"/>
      <w:numFmt w:val="lowerRoman"/>
      <w:start w:val="3"/>
    </w:lvl>
  </w:abstractNum>
  <w:abstractNum w:abstractNumId="328">
    <w:nsid w:val="64D17722"/>
    <w:multiLevelType w:val="hybridMultilevel"/>
    <w:lvl w:ilvl="0">
      <w:lvlJc w:val="left"/>
      <w:lvlText w:val="(%1)"/>
      <w:numFmt w:val="decimal"/>
      <w:start w:val="2"/>
    </w:lvl>
    <w:lvl w:ilvl="1">
      <w:lvlJc w:val="left"/>
      <w:lvlText w:val="(%2)"/>
      <w:numFmt w:val="lowerLetter"/>
      <w:start w:val="24"/>
    </w:lvl>
  </w:abstractNum>
  <w:abstractNum w:abstractNumId="329">
    <w:nsid w:val="7924CA0A"/>
    <w:multiLevelType w:val="hybridMultilevel"/>
    <w:lvl w:ilvl="0">
      <w:lvlJc w:val="left"/>
      <w:lvlText w:val="(%1)"/>
      <w:numFmt w:val="lowerLetter"/>
      <w:start w:val="4"/>
    </w:lvl>
  </w:abstractNum>
  <w:abstractNum w:abstractNumId="330">
    <w:nsid w:val="CFD4EA7"/>
    <w:multiLevelType w:val="hybridMultilevel"/>
    <w:lvl w:ilvl="0">
      <w:lvlJc w:val="left"/>
      <w:lvlText w:val="(%1)"/>
      <w:numFmt w:val="lowerLetter"/>
      <w:start w:val="6"/>
    </w:lvl>
  </w:abstractNum>
  <w:abstractNum w:abstractNumId="331">
    <w:nsid w:val="232FCF4D"/>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1"/>
    </w:lvl>
  </w:abstractNum>
  <w:abstractNum w:abstractNumId="332">
    <w:nsid w:val="1EA21031"/>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333">
    <w:nsid w:val="67A5A6B5"/>
    <w:multiLevelType w:val="hybridMultilevel"/>
    <w:lvl w:ilvl="0">
      <w:lvlJc w:val="left"/>
      <w:lvlText w:val="(%1)"/>
      <w:numFmt w:val="upperLetter"/>
      <w:start w:val="61"/>
    </w:lvl>
    <w:lvl w:ilvl="1">
      <w:lvlJc w:val="left"/>
      <w:lvlText w:val="%2"/>
      <w:numFmt w:val="lowerRoman"/>
      <w:start w:val="1"/>
    </w:lvl>
    <w:lvl w:ilvl="2">
      <w:lvlJc w:val="left"/>
      <w:lvlText w:val="(%3)"/>
      <w:numFmt w:val="lowerLetter"/>
      <w:start w:val="13"/>
    </w:lvl>
  </w:abstractNum>
  <w:abstractNum w:abstractNumId="334">
    <w:nsid w:val="C2A5C5B"/>
    <w:multiLevelType w:val="hybridMultilevel"/>
    <w:lvl w:ilvl="0">
      <w:lvlJc w:val="left"/>
      <w:lvlText w:val="(%1)"/>
      <w:numFmt w:val="lowerLetter"/>
      <w:start w:val="14"/>
    </w:lvl>
  </w:abstractNum>
  <w:abstractNum w:abstractNumId="335">
    <w:nsid w:val="5F94DC03"/>
    <w:multiLevelType w:val="hybridMultilevel"/>
    <w:lvl w:ilvl="0">
      <w:lvlJc w:val="left"/>
      <w:lvlText w:val="(%1)"/>
      <w:numFmt w:val="lowerLetter"/>
      <w:start w:val="20"/>
    </w:lvl>
  </w:abstractNum>
  <w:abstractNum w:abstractNumId="336">
    <w:nsid w:val="237BBCA0"/>
    <w:multiLevelType w:val="hybridMultilevel"/>
    <w:lvl w:ilvl="0">
      <w:lvlJc w:val="left"/>
      <w:lvlText w:val="(%1)"/>
      <w:numFmt w:val="lowerLetter"/>
      <w:start w:val="27"/>
    </w:lvl>
  </w:abstractNum>
  <w:abstractNum w:abstractNumId="337">
    <w:nsid w:val="162EB70D"/>
    <w:multiLevelType w:val="hybridMultilevel"/>
    <w:lvl w:ilvl="0">
      <w:lvlJc w:val="left"/>
      <w:lvlText w:val="%1"/>
      <w:numFmt w:val="decimal"/>
      <w:start w:val="1"/>
    </w:lvl>
    <w:lvl w:ilvl="1">
      <w:lvlJc w:val="left"/>
      <w:lvlText w:val="(%2)"/>
      <w:numFmt w:val="lowerLetter"/>
      <w:start w:val="29"/>
    </w:lvl>
  </w:abstractNum>
  <w:abstractNum w:abstractNumId="338">
    <w:nsid w:val="78070222"/>
    <w:multiLevelType w:val="hybridMultilevel"/>
    <w:lvl w:ilvl="0">
      <w:lvlJc w:val="left"/>
      <w:lvlText w:val="(%1)"/>
      <w:numFmt w:val="decimal"/>
      <w:start w:val="3"/>
    </w:lvl>
    <w:lvl w:ilvl="1">
      <w:lvlJc w:val="left"/>
      <w:lvlText w:val="(%2)"/>
      <w:numFmt w:val="lowerLetter"/>
      <w:start w:val="1"/>
    </w:lvl>
  </w:abstractNum>
  <w:abstractNum w:abstractNumId="339">
    <w:nsid w:val="6163ED0D"/>
    <w:multiLevelType w:val="hybridMultilevel"/>
    <w:lvl w:ilvl="0">
      <w:lvlJc w:val="left"/>
      <w:lvlText w:val="(%1)"/>
      <w:numFmt w:val="decimal"/>
      <w:start w:val="1"/>
    </w:lvl>
    <w:lvl w:ilvl="1">
      <w:lvlJc w:val="left"/>
      <w:lvlText w:val="(%2)"/>
      <w:numFmt w:val="lowerLetter"/>
      <w:start w:val="1"/>
    </w:lvl>
  </w:abstractNum>
  <w:abstractNum w:abstractNumId="340">
    <w:nsid w:val="C600E47"/>
    <w:multiLevelType w:val="hybridMultilevel"/>
    <w:lvl w:ilvl="0">
      <w:lvlJc w:val="left"/>
      <w:lvlText w:val="(%1)"/>
      <w:numFmt w:val="lowerRoman"/>
      <w:start w:val="1"/>
    </w:lvl>
  </w:abstractNum>
  <w:abstractNum w:abstractNumId="341">
    <w:nsid w:val="7D94F75D"/>
    <w:multiLevelType w:val="hybridMultilevel"/>
    <w:lvl w:ilvl="0">
      <w:lvlJc w:val="left"/>
      <w:lvlText w:val="%1"/>
      <w:numFmt w:val="upperLetter"/>
      <w:start w:val="1"/>
    </w:lvl>
    <w:lvl w:ilvl="1">
      <w:lvlJc w:val="left"/>
      <w:lvlText w:val="(%2)"/>
      <w:numFmt w:val="lowerRoman"/>
      <w:start w:val="2"/>
    </w:lvl>
  </w:abstractNum>
  <w:abstractNum w:abstractNumId="342">
    <w:nsid w:val="6C31E7CD"/>
    <w:multiLevelType w:val="hybridMultilevel"/>
    <w:lvl w:ilvl="0">
      <w:lvlJc w:val="left"/>
      <w:lvlText w:val="(%1)"/>
      <w:numFmt w:val="upperLetter"/>
      <w:start w:val="61"/>
    </w:lvl>
    <w:lvl w:ilvl="1">
      <w:lvlJc w:val="left"/>
      <w:lvlText w:val="%2"/>
      <w:numFmt w:val="lowerRoman"/>
      <w:start w:val="1"/>
    </w:lvl>
  </w:abstractNum>
  <w:abstractNum w:abstractNumId="343">
    <w:nsid w:val="2BB7929B"/>
    <w:multiLevelType w:val="hybridMultilevel"/>
    <w:lvl w:ilvl="0">
      <w:lvlJc w:val="left"/>
      <w:lvlText w:val="(%1)"/>
      <w:numFmt w:val="lowerLetter"/>
      <w:start w:val="1"/>
    </w:lvl>
  </w:abstractNum>
  <w:abstractNum w:abstractNumId="344">
    <w:nsid w:val="58A2A487"/>
    <w:multiLevelType w:val="hybridMultilevel"/>
    <w:lvl w:ilvl="0">
      <w:lvlJc w:val="left"/>
      <w:lvlText w:val="(%1)"/>
      <w:numFmt w:val="decimal"/>
      <w:start w:val="3"/>
    </w:lvl>
  </w:abstractNum>
  <w:abstractNum w:abstractNumId="345">
    <w:nsid w:val="3A6F0E78"/>
    <w:multiLevelType w:val="hybridMultilevel"/>
    <w:lvl w:ilvl="0">
      <w:lvlJc w:val="left"/>
      <w:lvlText w:val="(%1)"/>
      <w:numFmt w:val="lowerRoman"/>
      <w:start w:val="1"/>
    </w:lvl>
    <w:lvl w:ilvl="1">
      <w:lvlJc w:val="left"/>
      <w:lvlText w:val="(%2)"/>
      <w:numFmt w:val="upperLetter"/>
      <w:start w:val="9"/>
    </w:lvl>
  </w:abstractNum>
  <w:abstractNum w:abstractNumId="346">
    <w:nsid w:val="379A5B56"/>
    <w:multiLevelType w:val="hybridMultilevel"/>
    <w:lvl w:ilvl="0">
      <w:lvlJc w:val="left"/>
      <w:lvlText w:val="(%1)"/>
      <w:numFmt w:val="upperLetter"/>
      <w:start w:val="35"/>
    </w:lvl>
  </w:abstractNum>
  <w:abstractNum w:abstractNumId="347">
    <w:nsid w:val="53B735D5"/>
    <w:multiLevelType w:val="hybridMultilevel"/>
    <w:lvl w:ilvl="0">
      <w:lvlJc w:val="left"/>
      <w:lvlText w:val="(%1)"/>
      <w:numFmt w:val="upperLetter"/>
      <w:start w:val="61"/>
    </w:lvl>
  </w:abstractNum>
  <w:abstractNum w:abstractNumId="348">
    <w:nsid w:val="29784870"/>
    <w:multiLevelType w:val="hybridMultilevel"/>
    <w:lvl w:ilvl="0">
      <w:lvlJc w:val="left"/>
      <w:lvlText w:val="(%1)"/>
      <w:numFmt w:val="upperLetter"/>
      <w:start w:val="22"/>
    </w:lvl>
  </w:abstractNum>
  <w:abstractNum w:abstractNumId="349">
    <w:nsid w:val="4CDCED4C"/>
    <w:multiLevelType w:val="hybridMultilevel"/>
    <w:lvl w:ilvl="0">
      <w:lvlJc w:val="left"/>
      <w:lvlText w:val="(%1)"/>
      <w:numFmt w:val="lowerRoman"/>
      <w:start w:val="2"/>
    </w:lvl>
    <w:lvl w:ilvl="1">
      <w:lvlJc w:val="left"/>
      <w:lvlText w:val="(%2)"/>
      <w:numFmt w:val="upperLetter"/>
      <w:start w:val="9"/>
    </w:lvl>
  </w:abstractNum>
  <w:abstractNum w:abstractNumId="350">
    <w:nsid w:val="10A30D9C"/>
    <w:multiLevelType w:val="hybridMultilevel"/>
    <w:lvl w:ilvl="0">
      <w:lvlJc w:val="left"/>
      <w:lvlText w:val="%1"/>
      <w:numFmt w:val="lowerRoman"/>
      <w:start w:val="1"/>
    </w:lvl>
    <w:lvl w:ilvl="1">
      <w:lvlJc w:val="left"/>
      <w:lvlText w:val="(%2)"/>
      <w:numFmt w:val="upperLetter"/>
      <w:start w:val="35"/>
    </w:lvl>
  </w:abstractNum>
  <w:abstractNum w:abstractNumId="351">
    <w:nsid w:val="A66E486"/>
    <w:multiLevelType w:val="hybridMultilevel"/>
    <w:lvl w:ilvl="0">
      <w:lvlJc w:val="left"/>
      <w:lvlText w:val="(%1)"/>
      <w:numFmt w:val="lowerRoman"/>
      <w:start w:val="3"/>
    </w:lvl>
    <w:lvl w:ilvl="1">
      <w:lvlJc w:val="left"/>
      <w:lvlText w:val="%2"/>
      <w:numFmt w:val="upperLetter"/>
      <w:start w:val="1"/>
    </w:lvl>
  </w:abstractNum>
  <w:abstractNum w:abstractNumId="352">
    <w:nsid w:val="306235EA"/>
    <w:multiLevelType w:val="hybridMultilevel"/>
    <w:lvl w:ilvl="0">
      <w:lvlJc w:val="left"/>
      <w:lvlText w:val="(%1)"/>
      <w:numFmt w:val="decimal"/>
      <w:start w:val="5"/>
    </w:lvl>
  </w:abstractNum>
  <w:abstractNum w:abstractNumId="353">
    <w:nsid w:val="1187C70F"/>
    <w:multiLevelType w:val="hybridMultilevel"/>
    <w:lvl w:ilvl="0">
      <w:lvlJc w:val="left"/>
      <w:lvlText w:val="(%1)"/>
      <w:numFmt w:val="lowerRoman"/>
      <w:start w:val="1"/>
    </w:lvl>
  </w:abstractNum>
  <w:abstractNum w:abstractNumId="354">
    <w:nsid w:val="5476DE98"/>
    <w:multiLevelType w:val="hybridMultilevel"/>
    <w:lvl w:ilvl="0">
      <w:lvlJc w:val="left"/>
      <w:lvlText w:val="(%1)"/>
      <w:numFmt w:val="lowerRoman"/>
      <w:start w:val="3"/>
    </w:lvl>
  </w:abstractNum>
  <w:abstractNum w:abstractNumId="355">
    <w:nsid w:val="EA697F2"/>
    <w:multiLevelType w:val="hybridMultilevel"/>
    <w:lvl w:ilvl="0">
      <w:lvlJc w:val="left"/>
      <w:lvlText w:val="(%1)"/>
      <w:numFmt w:val="upperLetter"/>
      <w:start w:val="9"/>
    </w:lvl>
  </w:abstractNum>
  <w:abstractNum w:abstractNumId="356">
    <w:nsid w:val="70BA39EB"/>
    <w:multiLevelType w:val="hybridMultilevel"/>
    <w:lvl w:ilvl="0">
      <w:lvlJc w:val="left"/>
      <w:lvlText w:val="(%1)"/>
      <w:numFmt w:val="upperLetter"/>
      <w:start w:val="35"/>
    </w:lvl>
  </w:abstractNum>
  <w:abstractNum w:abstractNumId="357">
    <w:nsid w:val="4A8DB59C"/>
    <w:multiLevelType w:val="hybridMultilevel"/>
    <w:lvl w:ilvl="0">
      <w:lvlJc w:val="left"/>
      <w:lvlText w:val="(%1)"/>
      <w:numFmt w:val="upperLetter"/>
      <w:start w:val="61"/>
    </w:lvl>
  </w:abstractNum>
  <w:abstractNum w:abstractNumId="358">
    <w:nsid w:val="1AFD9053"/>
    <w:multiLevelType w:val="hybridMultilevel"/>
    <w:lvl w:ilvl="0">
      <w:lvlJc w:val="left"/>
      <w:lvlText w:val="(%1)"/>
      <w:numFmt w:val="upperLetter"/>
      <w:start w:val="22"/>
    </w:lvl>
  </w:abstractNum>
  <w:abstractNum w:abstractNumId="359">
    <w:nsid w:val="558BB10D"/>
    <w:multiLevelType w:val="hybridMultilevel"/>
    <w:lvl w:ilvl="0">
      <w:lvlJc w:val="left"/>
      <w:lvlText w:val="(%1)"/>
      <w:numFmt w:val="lowerRoman"/>
      <w:start w:val="4"/>
    </w:lvl>
  </w:abstractNum>
  <w:abstractNum w:abstractNumId="360">
    <w:nsid w:val="43B27FA7"/>
    <w:multiLevelType w:val="hybridMultilevel"/>
    <w:lvl w:ilvl="0">
      <w:lvlJc w:val="left"/>
      <w:lvlText w:val="(%1)"/>
      <w:numFmt w:val="decimal"/>
      <w:start w:val="6"/>
    </w:lvl>
  </w:abstractNum>
  <w:abstractNum w:abstractNumId="361">
    <w:nsid w:val="27FADEFA"/>
    <w:multiLevelType w:val="hybridMultilevel"/>
    <w:lvl w:ilvl="0">
      <w:lvlJc w:val="left"/>
      <w:lvlText w:val="(%1)"/>
      <w:numFmt w:val="decimal"/>
      <w:start w:val="8"/>
    </w:lvl>
  </w:abstractNum>
  <w:abstractNum w:abstractNumId="362">
    <w:nsid w:val="78BB805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63">
    <w:nsid w:val="62548FD8"/>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364">
    <w:nsid w:val="FA085B0"/>
    <w:multiLevelType w:val="hybridMultilevel"/>
    <w:lvl w:ilvl="0">
      <w:lvlJc w:val="left"/>
      <w:lvlText w:val="(%1)"/>
      <w:numFmt w:val="lowerLetter"/>
      <w:start w:val="4"/>
    </w:lvl>
  </w:abstractNum>
  <w:abstractNum w:abstractNumId="365">
    <w:nsid w:val="4E5DCB5"/>
    <w:multiLevelType w:val="hybridMultilevel"/>
    <w:lvl w:ilvl="0">
      <w:lvlJc w:val="left"/>
      <w:lvlText w:val="(%1)"/>
      <w:numFmt w:val="upperLetter"/>
      <w:start w:val="1"/>
    </w:lvl>
  </w:abstractNum>
  <w:abstractNum w:abstractNumId="366">
    <w:nsid w:val="41E96BDB"/>
    <w:multiLevelType w:val="hybridMultilevel"/>
    <w:lvl w:ilvl="0">
      <w:lvlJc w:val="left"/>
      <w:lvlText w:val="(%1)"/>
      <w:numFmt w:val="lowerRoman"/>
      <w:start w:val="1"/>
    </w:lvl>
  </w:abstractNum>
  <w:abstractNum w:abstractNumId="367">
    <w:nsid w:val="331C4250"/>
    <w:multiLevelType w:val="hybridMultilevel"/>
    <w:lvl w:ilvl="0">
      <w:lvlJc w:val="left"/>
      <w:lvlText w:val="(%1)"/>
      <w:numFmt w:val="upperLetter"/>
      <w:start w:val="2"/>
    </w:lvl>
  </w:abstractNum>
  <w:abstractNum w:abstractNumId="368">
    <w:nsid w:val="1B1493C2"/>
    <w:multiLevelType w:val="hybridMultilevel"/>
    <w:lvl w:ilvl="0">
      <w:lvlJc w:val="left"/>
      <w:lvlText w:val="(%1)"/>
      <w:numFmt w:val="upperLetter"/>
      <w:start w:val="4"/>
    </w:lvl>
  </w:abstractNum>
  <w:abstractNum w:abstractNumId="369">
    <w:nsid w:val="39F06DFD"/>
    <w:multiLevelType w:val="hybridMultilevel"/>
    <w:lvl w:ilvl="0">
      <w:lvlJc w:val="left"/>
      <w:lvlText w:val="(%1)"/>
      <w:numFmt w:val="lowerRoman"/>
      <w:start w:val="1"/>
    </w:lvl>
  </w:abstractNum>
  <w:abstractNum w:abstractNumId="370">
    <w:nsid w:val="14802F5D"/>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371">
    <w:nsid w:val="2774A20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9"/>
    </w:lvl>
  </w:abstractNum>
  <w:abstractNum w:abstractNumId="372">
    <w:nsid w:val="3785655A"/>
    <w:multiLevelType w:val="hybridMultilevel"/>
    <w:lvl w:ilvl="0">
      <w:lvlJc w:val="left"/>
      <w:lvlText w:val="(%1)"/>
      <w:numFmt w:val="upperLetter"/>
      <w:start w:val="1"/>
    </w:lvl>
  </w:abstractNum>
  <w:abstractNum w:abstractNumId="373">
    <w:nsid w:val="B2172A"/>
    <w:multiLevelType w:val="hybridMultilevel"/>
    <w:lvl w:ilvl="0">
      <w:lvlJc w:val="left"/>
      <w:lvlText w:val="%1"/>
      <w:numFmt w:val="upperLetter"/>
      <w:start w:val="1"/>
    </w:lvl>
    <w:lvl w:ilvl="1">
      <w:lvlJc w:val="left"/>
      <w:lvlText w:val="(%2)"/>
      <w:numFmt w:val="upperLetter"/>
      <w:start w:val="2"/>
    </w:lvl>
  </w:abstractNum>
  <w:abstractNum w:abstractNumId="374">
    <w:nsid w:val="532C34A5"/>
    <w:multiLevelType w:val="hybridMultilevel"/>
    <w:lvl w:ilvl="0">
      <w:lvlJc w:val="left"/>
      <w:lvlText w:val="(%1)"/>
      <w:numFmt w:val="upperLetter"/>
      <w:start w:val="35"/>
    </w:lvl>
    <w:lvl w:ilvl="1">
      <w:lvlJc w:val="left"/>
      <w:lvlText w:val="%2"/>
      <w:numFmt w:val="upperLetter"/>
      <w:start w:val="1"/>
    </w:lvl>
  </w:abstractNum>
  <w:abstractNum w:abstractNumId="375">
    <w:nsid w:val="102809E2"/>
    <w:multiLevelType w:val="hybridMultilevel"/>
    <w:lvl w:ilvl="0">
      <w:lvlJc w:val="left"/>
      <w:lvlText w:val="(%1)"/>
      <w:numFmt w:val="decimal"/>
      <w:start w:val="2"/>
    </w:lvl>
  </w:abstractNum>
  <w:abstractNum w:abstractNumId="376">
    <w:nsid w:val="3B2125A3"/>
    <w:multiLevelType w:val="hybridMultilevel"/>
    <w:lvl w:ilvl="0">
      <w:lvlJc w:val="left"/>
      <w:lvlText w:val="(%1)"/>
      <w:numFmt w:val="lowerRoman"/>
      <w:start w:val="3"/>
    </w:lvl>
    <w:lvl w:ilvl="1">
      <w:lvlJc w:val="left"/>
      <w:lvlText w:val="(%2)"/>
      <w:numFmt w:val="upperLetter"/>
      <w:start w:val="9"/>
    </w:lvl>
  </w:abstractNum>
  <w:abstractNum w:abstractNumId="377">
    <w:nsid w:val="AC68FFB"/>
    <w:multiLevelType w:val="hybridMultilevel"/>
    <w:lvl w:ilvl="0">
      <w:lvlJc w:val="left"/>
      <w:lvlText w:val="(%1)"/>
      <w:numFmt w:val="upperLetter"/>
      <w:start w:val="35"/>
    </w:lvl>
  </w:abstractNum>
  <w:abstractNum w:abstractNumId="378">
    <w:nsid w:val="63DF3FB7"/>
    <w:multiLevelType w:val="hybridMultilevel"/>
    <w:lvl w:ilvl="0">
      <w:lvlJc w:val="left"/>
      <w:lvlText w:val="%1"/>
      <w:numFmt w:val="lowerRoman"/>
      <w:start w:val="1"/>
    </w:lvl>
    <w:lvl w:ilvl="1">
      <w:lvlJc w:val="left"/>
      <w:lvlText w:val="(%2)"/>
      <w:numFmt w:val="upperLetter"/>
      <w:start w:val="61"/>
    </w:lvl>
  </w:abstractNum>
  <w:abstractNum w:abstractNumId="379">
    <w:nsid w:val="64996E13"/>
    <w:multiLevelType w:val="hybridMultilevel"/>
    <w:lvl w:ilvl="0">
      <w:lvlJc w:val="left"/>
      <w:lvlText w:val="(%1)"/>
      <w:numFmt w:val="lowerRoman"/>
      <w:start w:val="5"/>
    </w:lvl>
    <w:lvl w:ilvl="1">
      <w:lvlJc w:val="left"/>
      <w:lvlText w:val="%2"/>
      <w:numFmt w:val="upperLetter"/>
      <w:start w:val="1"/>
    </w:lvl>
  </w:abstractNum>
  <w:abstractNum w:abstractNumId="380">
    <w:nsid w:val="57A37D47"/>
    <w:multiLevelType w:val="hybridMultilevel"/>
    <w:lvl w:ilvl="0">
      <w:lvlJc w:val="left"/>
      <w:lvlText w:val="(%1)"/>
      <w:numFmt w:val="decimal"/>
      <w:start w:val="2"/>
    </w:lvl>
    <w:lvl w:ilvl="1">
      <w:lvlJc w:val="left"/>
      <w:lvlText w:val="(%2)"/>
      <w:numFmt w:val="lowerLetter"/>
      <w:start w:val="1"/>
    </w:lvl>
  </w:abstractNum>
  <w:abstractNum w:abstractNumId="381">
    <w:nsid w:val="74824D54"/>
    <w:multiLevelType w:val="hybridMultilevel"/>
    <w:lvl w:ilvl="0">
      <w:lvlJc w:val="left"/>
      <w:lvlText w:val="(%1)"/>
      <w:numFmt w:val="lowerLetter"/>
      <w:start w:val="2"/>
    </w:lvl>
  </w:abstractNum>
  <w:abstractNum w:abstractNumId="382">
    <w:nsid w:val="6F00529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83">
    <w:nsid w:val="805B33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84">
    <w:nsid w:val="60A1463"/>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385">
    <w:nsid w:val="43773132"/>
    <w:multiLevelType w:val="hybridMultilevel"/>
    <w:lvl w:ilvl="0">
      <w:lvlJc w:val="left"/>
      <w:lvlText w:val="(%1)"/>
      <w:numFmt w:val="lowerRoman"/>
      <w:start w:val="1"/>
    </w:lvl>
  </w:abstractNum>
  <w:abstractNum w:abstractNumId="386">
    <w:nsid w:val="16AC4B23"/>
    <w:multiLevelType w:val="hybridMultilevel"/>
    <w:lvl w:ilvl="0">
      <w:lvlJc w:val="left"/>
      <w:lvlText w:val="(%1)"/>
      <w:numFmt w:val="lowerLetter"/>
      <w:start w:val="5"/>
    </w:lvl>
  </w:abstractNum>
  <w:abstractNum w:abstractNumId="387">
    <w:nsid w:val="76C44E4E"/>
    <w:multiLevelType w:val="hybridMultilevel"/>
    <w:lvl w:ilvl="0">
      <w:lvlJc w:val="left"/>
      <w:lvlText w:val="%1"/>
      <w:numFmt w:val="lowerLetter"/>
      <w:start w:val="1"/>
    </w:lvl>
    <w:lvl w:ilvl="1">
      <w:lvlJc w:val="left"/>
      <w:lvlText w:val="(%2)"/>
      <w:numFmt w:val="lowerRoman"/>
      <w:start w:val="2"/>
    </w:lvl>
  </w:abstractNum>
  <w:abstractNum w:abstractNumId="388">
    <w:nsid w:val="E04E6CE"/>
    <w:multiLevelType w:val="hybridMultilevel"/>
    <w:lvl w:ilvl="0">
      <w:lvlJc w:val="left"/>
      <w:lvlText w:val="(%1)"/>
      <w:numFmt w:val="lowerLetter"/>
      <w:start w:val="8"/>
    </w:lvl>
    <w:lvl w:ilvl="1">
      <w:lvlJc w:val="left"/>
      <w:lvlText w:val="%2"/>
      <w:numFmt w:val="lowerRoman"/>
      <w:start w:val="1"/>
    </w:lvl>
  </w:abstractNum>
  <w:abstractNum w:abstractNumId="389">
    <w:nsid w:val="31A9DB76"/>
    <w:multiLevelType w:val="hybridMultilevel"/>
    <w:lvl w:ilvl="0">
      <w:lvlJc w:val="left"/>
      <w:lvlText w:val="%1"/>
      <w:numFmt w:val="lowerRoman"/>
      <w:start w:val="1"/>
    </w:lvl>
    <w:lvl w:ilvl="1">
      <w:lvlJc w:val="left"/>
      <w:lvlText w:val="(%2)"/>
      <w:numFmt w:val="lowerLetter"/>
      <w:start w:val="13"/>
    </w:lvl>
  </w:abstractNum>
  <w:abstractNum w:abstractNumId="390">
    <w:nsid w:val="4C4FFF5B"/>
    <w:multiLevelType w:val="hybridMultilevel"/>
    <w:lvl w:ilvl="0">
      <w:lvlJc w:val="left"/>
      <w:lvlText w:val="(%1)"/>
      <w:numFmt w:val="lowerRoman"/>
      <w:start w:val="1"/>
    </w:lvl>
    <w:lvl w:ilvl="1">
      <w:lvlJc w:val="left"/>
      <w:lvlText w:val="%2"/>
      <w:numFmt w:val="lowerLetter"/>
      <w:start w:val="1"/>
    </w:lvl>
  </w:abstractNum>
  <w:abstractNum w:abstractNumId="391">
    <w:nsid w:val="51B76675"/>
    <w:multiLevelType w:val="hybridMultilevel"/>
    <w:lvl w:ilvl="0">
      <w:lvlJc w:val="left"/>
      <w:lvlText w:val="%1"/>
      <w:numFmt w:val="upperLetter"/>
      <w:start w:val="1"/>
    </w:lvl>
    <w:lvl w:ilvl="1">
      <w:lvlJc w:val="left"/>
      <w:lvlText w:val="(%2)"/>
      <w:numFmt w:val="lowerRoman"/>
      <w:start w:val="7"/>
    </w:lvl>
  </w:abstractNum>
  <w:abstractNum w:abstractNumId="392">
    <w:nsid w:val="59A4BA71"/>
    <w:multiLevelType w:val="hybridMultilevel"/>
    <w:lvl w:ilvl="0">
      <w:lvlJc w:val="left"/>
      <w:lvlText w:val="(%1)"/>
      <w:numFmt w:val="upperLetter"/>
      <w:start w:val="2"/>
    </w:lvl>
    <w:lvl w:ilvl="1">
      <w:lvlJc w:val="left"/>
      <w:lvlText w:val="%2"/>
      <w:numFmt w:val="lowerRoman"/>
      <w:start w:val="1"/>
    </w:lvl>
  </w:abstractNum>
  <w:abstractNum w:abstractNumId="393">
    <w:nsid w:val="450B7FB6"/>
    <w:multiLevelType w:val="hybridMultilevel"/>
    <w:lvl w:ilvl="0">
      <w:lvlJc w:val="left"/>
      <w:lvlText w:val="%1"/>
      <w:numFmt w:val="lowerLetter"/>
      <w:start w:val="1"/>
    </w:lvl>
    <w:lvl w:ilvl="1">
      <w:lvlJc w:val="left"/>
      <w:lvlText w:val="(%2)"/>
      <w:numFmt w:val="lowerLetter"/>
      <w:start w:val="15"/>
    </w:lvl>
  </w:abstractNum>
  <w:abstractNum w:abstractNumId="394">
    <w:nsid w:val="340BF64D"/>
    <w:multiLevelType w:val="hybridMultilevel"/>
    <w:lvl w:ilvl="0">
      <w:lvlJc w:val="left"/>
      <w:lvlText w:val="(%1)"/>
      <w:numFmt w:val="lowerLetter"/>
      <w:start w:val="35"/>
    </w:lvl>
    <w:lvl w:ilvl="1">
      <w:lvlJc w:val="left"/>
      <w:lvlText w:val="(%2)"/>
      <w:numFmt w:val="lowerLetter"/>
      <w:start w:val="19"/>
    </w:lvl>
  </w:abstractNum>
  <w:abstractNum w:abstractNumId="395">
    <w:nsid w:val="69454021"/>
    <w:multiLevelType w:val="hybridMultilevel"/>
    <w:lvl w:ilvl="0">
      <w:lvlJc w:val="left"/>
      <w:lvlText w:val="(%1)"/>
      <w:numFmt w:val="lowerLetter"/>
      <w:start w:val="22"/>
    </w:lvl>
  </w:abstractNum>
  <w:abstractNum w:abstractNumId="396">
    <w:nsid w:val="49F15C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97">
    <w:nsid w:val="75F56228"/>
    <w:multiLevelType w:val="hybridMultilevel"/>
    <w:lvl w:ilvl="0">
      <w:lvlJc w:val="left"/>
      <w:lvlText w:val="(%1)"/>
      <w:numFmt w:val="lowerLetter"/>
      <w:start w:val="4"/>
    </w:lvl>
  </w:abstractNum>
  <w:abstractNum w:abstractNumId="398">
    <w:nsid w:val="1C618271"/>
    <w:multiLevelType w:val="hybridMultilevel"/>
    <w:lvl w:ilvl="0">
      <w:lvlJc w:val="left"/>
      <w:lvlText w:val="(%1)"/>
      <w:numFmt w:val="decimal"/>
      <w:start w:val="2"/>
    </w:lvl>
    <w:lvl w:ilvl="1">
      <w:lvlJc w:val="left"/>
      <w:lvlText w:val="(%2)"/>
      <w:numFmt w:val="lowerLetter"/>
      <w:start w:val="1"/>
    </w:lvl>
  </w:abstractNum>
  <w:abstractNum w:abstractNumId="399">
    <w:nsid w:val="6505F02E"/>
    <w:multiLevelType w:val="hybridMultilevel"/>
    <w:lvl w:ilvl="0">
      <w:lvlJc w:val="left"/>
      <w:lvlText w:val="(%1)"/>
      <w:numFmt w:val="lowerLetter"/>
      <w:start w:val="9"/>
    </w:lvl>
  </w:abstractNum>
  <w:abstractNum w:abstractNumId="400">
    <w:nsid w:val="2FE5D025"/>
    <w:multiLevelType w:val="hybridMultilevel"/>
    <w:lvl w:ilvl="0">
      <w:lvlJc w:val="left"/>
      <w:lvlText w:val="(%1)"/>
      <w:numFmt w:val="lowerLetter"/>
      <w:start w:val="20"/>
    </w:lvl>
  </w:abstractNum>
  <w:abstractNum w:abstractNumId="401">
    <w:nsid w:val="30E1B1CF"/>
    <w:multiLevelType w:val="hybridMultilevel"/>
    <w:lvl w:ilvl="0">
      <w:lvlJc w:val="left"/>
      <w:lvlText w:val="(%1)"/>
      <w:numFmt w:val="decimal"/>
      <w:start w:val="1"/>
    </w:lvl>
  </w:abstractNum>
  <w:abstractNum w:abstractNumId="402">
    <w:nsid w:val="C7A9237"/>
    <w:multiLevelType w:val="hybridMultilevel"/>
    <w:lvl w:ilvl="0">
      <w:lvlJc w:val="left"/>
      <w:lvlText w:val="(%1)"/>
      <w:numFmt w:val="decimal"/>
      <w:start w:val="6"/>
    </w:lvl>
  </w:abstractNum>
  <w:abstractNum w:abstractNumId="403">
    <w:nsid w:val="676B3580"/>
    <w:multiLevelType w:val="hybridMultilevel"/>
    <w:lvl w:ilvl="0">
      <w:lvlJc w:val="left"/>
      <w:lvlText w:val="(%1)"/>
      <w:numFmt w:val="decimal"/>
      <w:start w:val="1"/>
    </w:lvl>
  </w:abstractNum>
  <w:abstractNum w:abstractNumId="404">
    <w:nsid w:val="3193C8F9"/>
    <w:multiLevelType w:val="hybridMultilevel"/>
    <w:lvl w:ilvl="0">
      <w:lvlJc w:val="left"/>
      <w:lvlText w:val="(%1)"/>
      <w:numFmt w:val="decimal"/>
      <w:start w:val="1"/>
    </w:lvl>
  </w:abstractNum>
  <w:abstractNum w:abstractNumId="405">
    <w:nsid w:val="5FA6C6DC"/>
    <w:multiLevelType w:val="hybridMultilevel"/>
    <w:lvl w:ilvl="0">
      <w:lvlJc w:val="left"/>
      <w:lvlText w:val="%1"/>
      <w:numFmt w:val="decimal"/>
      <w:start w:val="1"/>
    </w:lvl>
    <w:lvl w:ilvl="1">
      <w:lvlJc w:val="left"/>
      <w:lvlText w:val="(%2)"/>
      <w:numFmt w:val="decimal"/>
      <w:start w:val="6"/>
    </w:lvl>
  </w:abstractNum>
  <w:abstractNum w:abstractNumId="406">
    <w:nsid w:val="77933F62"/>
    <w:multiLevelType w:val="hybridMultilevel"/>
    <w:lvl w:ilvl="0">
      <w:lvlJc w:val="left"/>
      <w:lvlText w:val="(%1)"/>
      <w:numFmt w:val="decimal"/>
      <w:start w:val="60"/>
    </w:lvl>
    <w:lvl w:ilvl="1">
      <w:lvlJc w:val="left"/>
      <w:lvlText w:val="(%2)"/>
      <w:numFmt w:val="decimal"/>
      <w:start w:val="7"/>
    </w:lvl>
  </w:abstractNum>
  <w:abstractNum w:abstractNumId="407">
    <w:nsid w:val="6CB4EE9C"/>
    <w:multiLevelType w:val="hybridMultilevel"/>
    <w:lvl w:ilvl="0">
      <w:lvlJc w:val="left"/>
      <w:lvlText w:val="(%1)"/>
      <w:numFmt w:val="decimal"/>
      <w:start w:val="1"/>
    </w:lvl>
  </w:abstractNum>
  <w:abstractNum w:abstractNumId="408">
    <w:nsid w:val="6A6D56D7"/>
    <w:multiLevelType w:val="hybridMultilevel"/>
    <w:lvl w:ilvl="0">
      <w:lvlJc w:val="left"/>
      <w:lvlText w:val="(%1)"/>
      <w:numFmt w:val="decimal"/>
      <w:start w:val="1"/>
    </w:lvl>
    <w:lvl w:ilvl="1">
      <w:lvlJc w:val="left"/>
      <w:lvlText w:val="(%2)"/>
      <w:numFmt w:val="lowerLetter"/>
      <w:start w:val="1"/>
    </w:lvl>
  </w:abstractNum>
  <w:abstractNum w:abstractNumId="409">
    <w:nsid w:val="5B727F19"/>
    <w:multiLevelType w:val="hybridMultilevel"/>
    <w:lvl w:ilvl="0">
      <w:lvlJc w:val="left"/>
      <w:lvlText w:val="(%1)"/>
      <w:numFmt w:val="lowerLetter"/>
      <w:start w:val="2"/>
    </w:lvl>
  </w:abstractNum>
  <w:abstractNum w:abstractNumId="410">
    <w:nsid w:val="514E5CB0"/>
    <w:multiLevelType w:val="hybridMultilevel"/>
    <w:lvl w:ilvl="0">
      <w:lvlJc w:val="left"/>
      <w:lvlText w:val="(%1)"/>
      <w:numFmt w:val="decimal"/>
      <w:start w:val="2"/>
    </w:lvl>
  </w:abstractNum>
  <w:abstractNum w:abstractNumId="411">
    <w:nsid w:val="4210D41E"/>
    <w:multiLevelType w:val="hybridMultilevel"/>
    <w:lvl w:ilvl="0">
      <w:lvlJc w:val="left"/>
      <w:lvlText w:val="(%1)"/>
      <w:numFmt w:val="decimal"/>
      <w:start w:val="1"/>
    </w:lvl>
  </w:abstractNum>
  <w:abstractNum w:abstractNumId="412">
    <w:nsid w:val="4FF4CC6D"/>
    <w:multiLevelType w:val="hybridMultilevel"/>
    <w:lvl w:ilvl="0">
      <w:lvlJc w:val="left"/>
      <w:lvlText w:val="%1"/>
      <w:numFmt w:val="upperLetter"/>
      <w:start w:val="1"/>
    </w:lvl>
    <w:lvl w:ilvl="1">
      <w:lvlJc w:val="left"/>
      <w:lvlText w:val="(%2)"/>
      <w:numFmt w:val="decimal"/>
      <w:start w:val="3"/>
    </w:lvl>
  </w:abstractNum>
  <w:abstractNum w:abstractNumId="413">
    <w:nsid w:val="404EAF4A"/>
    <w:multiLevelType w:val="hybridMultilevel"/>
    <w:lvl w:ilvl="0">
      <w:lvlJc w:val="left"/>
      <w:lvlText w:val="(%1)"/>
      <w:numFmt w:val="upperLetter"/>
      <w:start w:val="9"/>
    </w:lvl>
    <w:lvl w:ilvl="1">
      <w:lvlJc w:val="left"/>
      <w:lvlText w:val="%2"/>
      <w:numFmt w:val="decimal"/>
      <w:start w:val="1"/>
    </w:lvl>
  </w:abstractNum>
  <w:abstractNum w:abstractNumId="414">
    <w:nsid w:val="4A16874F"/>
    <w:multiLevelType w:val="hybridMultilevel"/>
    <w:lvl w:ilvl="0">
      <w:lvlJc w:val="left"/>
      <w:lvlText w:val="(%1)"/>
      <w:numFmt w:val="upperLetter"/>
      <w:start w:val="35"/>
    </w:lvl>
  </w:abstractNum>
  <w:abstractNum w:abstractNumId="415">
    <w:nsid w:val="55FEE0D1"/>
    <w:multiLevelType w:val="hybridMultilevel"/>
    <w:lvl w:ilvl="0">
      <w:lvlJc w:val="left"/>
      <w:lvlText w:val="(%1)"/>
      <w:numFmt w:val="upperLetter"/>
      <w:start w:val="61"/>
    </w:lvl>
  </w:abstractNum>
  <w:abstractNum w:abstractNumId="416">
    <w:nsid w:val="3C5E07C"/>
    <w:multiLevelType w:val="hybridMultilevel"/>
    <w:lvl w:ilvl="0">
      <w:lvlJc w:val="left"/>
      <w:lvlText w:val="(%1)"/>
      <w:numFmt w:val="lowerLetter"/>
      <w:start w:val="2"/>
    </w:lvl>
  </w:abstractNum>
  <w:abstractNum w:abstractNumId="417">
    <w:nsid w:val="60C2D273"/>
    <w:multiLevelType w:val="hybridMultilevel"/>
    <w:lvl w:ilvl="0">
      <w:lvlJc w:val="left"/>
      <w:lvlText w:val="(%1)"/>
      <w:numFmt w:val="decimal"/>
      <w:start w:val="1"/>
    </w:lvl>
  </w:abstractNum>
  <w:abstractNum w:abstractNumId="418">
    <w:nsid w:val="4CC32F1F"/>
    <w:multiLevelType w:val="hybridMultilevel"/>
    <w:lvl w:ilvl="0">
      <w:lvlJc w:val="left"/>
      <w:lvlText w:val="(%1)"/>
      <w:numFmt w:val="decimal"/>
      <w:start w:val="1"/>
    </w:lvl>
  </w:abstractNum>
  <w:abstractNum w:abstractNumId="419">
    <w:nsid w:val="11CAC74A"/>
    <w:multiLevelType w:val="hybridMultilevel"/>
    <w:lvl w:ilvl="0">
      <w:lvlJc w:val="left"/>
      <w:lvlText w:val="(%1)"/>
      <w:numFmt w:val="decimal"/>
      <w:start w:val="1"/>
    </w:lvl>
  </w:abstractNum>
  <w:abstractNum w:abstractNumId="420">
    <w:nsid w:val="126CADE9"/>
    <w:multiLevelType w:val="hybridMultilevel"/>
    <w:lvl w:ilvl="0">
      <w:lvlJc w:val="left"/>
      <w:lvlText w:val="(%1)"/>
      <w:numFmt w:val="decimal"/>
      <w:start w:val="3"/>
    </w:lvl>
  </w:abstractNum>
  <w:abstractNum w:abstractNumId="421">
    <w:nsid w:val="19132E7B"/>
    <w:multiLevelType w:val="hybridMultilevel"/>
    <w:lvl w:ilvl="0">
      <w:lvlJc w:val="left"/>
      <w:lvlText w:val="(%1)"/>
      <w:numFmt w:val="decimal"/>
      <w:start w:val="1"/>
    </w:lvl>
  </w:abstractNum>
  <w:abstractNum w:abstractNumId="422">
    <w:nsid w:val="63822DC0"/>
    <w:multiLevelType w:val="hybridMultilevel"/>
    <w:lvl w:ilvl="0">
      <w:lvlJc w:val="left"/>
      <w:lvlText w:val="(%1)"/>
      <w:numFmt w:val="lowerLetter"/>
      <w:start w:val="3"/>
    </w:lvl>
    <w:lvl w:ilvl="1">
      <w:lvlJc w:val="left"/>
      <w:lvlText w:val="(%2)"/>
      <w:numFmt w:val="lowerRoman"/>
      <w:start w:val="2"/>
    </w:lvl>
  </w:abstractNum>
  <w:abstractNum w:abstractNumId="423">
    <w:nsid w:val="6C11685A"/>
    <w:multiLevelType w:val="hybridMultilevel"/>
    <w:lvl w:ilvl="0">
      <w:lvlJc w:val="left"/>
      <w:lvlText w:val="(%1)"/>
      <w:numFmt w:val="lowerRoman"/>
      <w:start w:val="5"/>
    </w:lvl>
  </w:abstractNum>
  <w:abstractNum w:abstractNumId="424">
    <w:nsid w:val="5E1EAE31"/>
    <w:multiLevelType w:val="hybridMultilevel"/>
    <w:lvl w:ilvl="0">
      <w:lvlJc w:val="left"/>
      <w:lvlText w:val="%1"/>
      <w:numFmt w:val="lowerLetter"/>
      <w:start w:val="1"/>
    </w:lvl>
    <w:lvl w:ilvl="1">
      <w:lvlJc w:val="left"/>
      <w:lvlText w:val="(%2)"/>
      <w:numFmt w:val="decimal"/>
      <w:start w:val="1"/>
    </w:lvl>
  </w:abstractNum>
  <w:abstractNum w:abstractNumId="425">
    <w:nsid w:val="178E240D"/>
    <w:multiLevelType w:val="hybridMultilevel"/>
    <w:lvl w:ilvl="0">
      <w:lvlJc w:val="left"/>
      <w:lvlText w:val="(%1)"/>
      <w:numFmt w:val="lowerLetter"/>
      <w:start w:val="25"/>
    </w:lvl>
    <w:lvl w:ilvl="1">
      <w:lvlJc w:val="left"/>
      <w:lvlText w:val="%2"/>
      <w:numFmt w:val="decimal"/>
      <w:start w:val="1"/>
    </w:lvl>
  </w:abstractNum>
  <w:abstractNum w:abstractNumId="426">
    <w:nsid w:val="5556A87B"/>
    <w:multiLevelType w:val="hybridMultilevel"/>
    <w:lvl w:ilvl="0">
      <w:lvlJc w:val="left"/>
      <w:lvlText w:val="(%1)"/>
      <w:numFmt w:val="lowerLetter"/>
      <w:start w:val="9"/>
    </w:lvl>
    <w:lvl w:ilvl="1">
      <w:lvlJc w:val="left"/>
      <w:lvlText w:val="(%2)"/>
      <w:numFmt w:val="lowerLetter"/>
      <w:start w:val="1"/>
    </w:lvl>
  </w:abstractNum>
  <w:abstractNum w:abstractNumId="427">
    <w:nsid w:val="28100A9C"/>
    <w:multiLevelType w:val="hybridMultilevel"/>
    <w:lvl w:ilvl="0">
      <w:lvlJc w:val="left"/>
      <w:lvlText w:val="(%1)"/>
      <w:numFmt w:val="lowerLetter"/>
      <w:start w:val="5"/>
    </w:lvl>
  </w:abstractNum>
  <w:abstractNum w:abstractNumId="428">
    <w:nsid w:val="D838636"/>
    <w:multiLevelType w:val="hybridMultilevel"/>
    <w:lvl w:ilvl="0">
      <w:lvlJc w:val="left"/>
      <w:lvlText w:val="(%1)"/>
      <w:numFmt w:val="lowerLetter"/>
      <w:start w:val="11"/>
    </w:lvl>
  </w:abstractNum>
  <w:abstractNum w:abstractNumId="429">
    <w:nsid w:val="71B82AED"/>
    <w:multiLevelType w:val="hybridMultilevel"/>
    <w:lvl w:ilvl="0">
      <w:lvlJc w:val="left"/>
      <w:lvlText w:val="(%1)"/>
      <w:numFmt w:val="lowerRoman"/>
      <w:start w:val="1"/>
    </w:lvl>
  </w:abstractNum>
  <w:abstractNum w:abstractNumId="430">
    <w:nsid w:val="D15FACA"/>
    <w:multiLevelType w:val="hybridMultilevel"/>
    <w:lvl w:ilvl="0">
      <w:lvlJc w:val="left"/>
      <w:lvlText w:val="(%1)"/>
      <w:numFmt w:val="upperLetter"/>
      <w:start w:val="9"/>
    </w:lvl>
  </w:abstractNum>
  <w:abstractNum w:abstractNumId="431">
    <w:nsid w:val="3D69565B"/>
    <w:multiLevelType w:val="hybridMultilevel"/>
    <w:lvl w:ilvl="0">
      <w:lvlJc w:val="left"/>
      <w:lvlText w:val="(%1)"/>
      <w:numFmt w:val="upperLetter"/>
      <w:start w:val="35"/>
    </w:lvl>
  </w:abstractNum>
  <w:abstractNum w:abstractNumId="432">
    <w:nsid w:val="2299DCBC"/>
    <w:multiLevelType w:val="hybridMultilevel"/>
    <w:lvl w:ilvl="0">
      <w:lvlJc w:val="left"/>
      <w:lvlText w:val="(%1)"/>
      <w:numFmt w:val="upperLetter"/>
      <w:start w:val="61"/>
    </w:lvl>
  </w:abstractNum>
  <w:abstractNum w:abstractNumId="433">
    <w:nsid w:val="19908D02"/>
    <w:multiLevelType w:val="hybridMultilevel"/>
    <w:lvl w:ilvl="0">
      <w:lvlJc w:val="left"/>
      <w:lvlText w:val="%1"/>
      <w:numFmt w:val="decimal"/>
      <w:start w:val="1"/>
    </w:lvl>
    <w:lvl w:ilvl="1">
      <w:lvlJc w:val="left"/>
      <w:lvlText w:val="(%2)"/>
      <w:numFmt w:val="upperLetter"/>
      <w:start w:val="22"/>
    </w:lvl>
  </w:abstractNum>
  <w:abstractNum w:abstractNumId="434">
    <w:nsid w:val="24D48BDB"/>
    <w:multiLevelType w:val="hybridMultilevel"/>
    <w:lvl w:ilvl="0">
      <w:lvlJc w:val="left"/>
      <w:lvlText w:val="(%1)"/>
      <w:numFmt w:val="decimal"/>
      <w:start w:val="5"/>
    </w:lvl>
    <w:lvl w:ilvl="1">
      <w:lvlJc w:val="left"/>
      <w:lvlText w:val="%2"/>
      <w:numFmt w:val="upperLetter"/>
      <w:start w:val="1"/>
    </w:lvl>
  </w:abstractNum>
  <w:abstractNum w:abstractNumId="435">
    <w:nsid w:val="542DA5B5"/>
    <w:multiLevelType w:val="hybridMultilevel"/>
    <w:lvl w:ilvl="0">
      <w:lvlJc w:val="left"/>
      <w:lvlText w:val="(%1)"/>
      <w:numFmt w:val="lowerRoman"/>
      <w:start w:val="1"/>
    </w:lvl>
  </w:abstractNum>
  <w:abstractNum w:abstractNumId="436">
    <w:nsid w:val="793753DE"/>
    <w:multiLevelType w:val="hybridMultilevel"/>
    <w:lvl w:ilvl="0">
      <w:lvlJc w:val="left"/>
      <w:lvlText w:val="(%1)"/>
      <w:numFmt w:val="decimal"/>
      <w:start w:val="2"/>
    </w:lvl>
    <w:lvl w:ilvl="1">
      <w:lvlJc w:val="left"/>
      <w:lvlText w:val="(%2)"/>
      <w:numFmt w:val="lowerLetter"/>
      <w:start w:val="1"/>
    </w:lvl>
  </w:abstractNum>
  <w:abstractNum w:abstractNumId="437">
    <w:nsid w:val="1C67CB3D"/>
    <w:multiLevelType w:val="hybridMultilevel"/>
    <w:lvl w:ilvl="0">
      <w:lvlJc w:val="left"/>
      <w:lvlText w:val="(%1)"/>
      <w:numFmt w:val="lowerLetter"/>
      <w:start w:val="3"/>
    </w:lvl>
  </w:abstractNum>
  <w:abstractNum w:abstractNumId="438">
    <w:nsid w:val="40E29452"/>
    <w:multiLevelType w:val="hybridMultilevel"/>
    <w:lvl w:ilvl="0">
      <w:lvlJc w:val="left"/>
      <w:lvlText w:val="(%1)"/>
      <w:numFmt w:val="decimal"/>
      <w:start w:val="3"/>
    </w:lvl>
  </w:abstractNum>
  <w:abstractNum w:abstractNumId="439">
    <w:nsid w:val="63A4AAB6"/>
    <w:multiLevelType w:val="hybridMultilevel"/>
    <w:lvl w:ilvl="0">
      <w:lvlJc w:val="left"/>
      <w:lvlText w:val="(%1)"/>
      <w:numFmt w:val="decimal"/>
      <w:start w:val="1"/>
    </w:lvl>
    <w:lvl w:ilvl="1">
      <w:lvlJc w:val="left"/>
      <w:lvlText w:val="(%2)"/>
      <w:numFmt w:val="lowerLetter"/>
      <w:start w:val="24"/>
    </w:lvl>
  </w:abstractNum>
  <w:abstractNum w:abstractNumId="440">
    <w:nsid w:val="77DA4A57"/>
    <w:multiLevelType w:val="hybridMultilevel"/>
    <w:lvl w:ilvl="0">
      <w:lvlJc w:val="left"/>
      <w:lvlText w:val="(%1)"/>
      <w:numFmt w:val="decimal"/>
      <w:start w:val="2"/>
    </w:lvl>
  </w:abstractNum>
  <w:abstractNum w:abstractNumId="441">
    <w:nsid w:val="1230F102"/>
    <w:multiLevelType w:val="hybridMultilevel"/>
    <w:lvl w:ilvl="0">
      <w:lvlJc w:val="left"/>
      <w:lvlText w:val="(%1)"/>
      <w:numFmt w:val="decimal"/>
      <w:start w:val="5"/>
    </w:lvl>
  </w:abstractNum>
  <w:abstractNum w:abstractNumId="442">
    <w:nsid w:val="25B57ED4"/>
    <w:multiLevelType w:val="hybridMultilevel"/>
    <w:lvl w:ilvl="0">
      <w:lvlJc w:val="left"/>
      <w:lvlText w:val="(%1)"/>
      <w:numFmt w:val="decimal"/>
      <w:start w:val="1"/>
    </w:lvl>
  </w:abstractNum>
  <w:abstractNum w:abstractNumId="443">
    <w:nsid w:val="47CF16C4"/>
    <w:multiLevelType w:val="hybridMultilevel"/>
    <w:lvl w:ilvl="0">
      <w:lvlJc w:val="left"/>
      <w:lvlText w:val="%1"/>
      <w:numFmt w:val="lowerLetter"/>
      <w:start w:val="1"/>
    </w:lvl>
    <w:lvl w:ilvl="1">
      <w:lvlJc w:val="left"/>
      <w:lvlText w:val="(%2)"/>
      <w:numFmt w:val="lowerLetter"/>
      <w:start w:val="1"/>
    </w:lvl>
  </w:abstractNum>
  <w:abstractNum w:abstractNumId="444">
    <w:nsid w:val="527FA04C"/>
    <w:multiLevelType w:val="hybridMultilevel"/>
    <w:lvl w:ilvl="0">
      <w:lvlJc w:val="left"/>
      <w:lvlText w:val="(%1)"/>
      <w:numFmt w:val="lowerLetter"/>
      <w:start w:val="9"/>
    </w:lvl>
    <w:lvl w:ilvl="1">
      <w:lvlJc w:val="left"/>
      <w:lvlText w:val="%2"/>
      <w:numFmt w:val="lowerLetter"/>
      <w:start w:val="1"/>
    </w:lvl>
  </w:abstractNum>
  <w:abstractNum w:abstractNumId="445">
    <w:nsid w:val="6FCC0624"/>
    <w:multiLevelType w:val="hybridMultilevel"/>
    <w:lvl w:ilvl="0">
      <w:lvlJc w:val="left"/>
      <w:lvlText w:val="(%1)"/>
      <w:numFmt w:val="lowerLetter"/>
      <w:start w:val="35"/>
    </w:lvl>
    <w:lvl w:ilvl="1">
      <w:lvlJc w:val="left"/>
      <w:lvlText w:val="(%2)"/>
      <w:numFmt w:val="lowerLetter"/>
      <w:start w:val="2"/>
    </w:lvl>
  </w:abstractNum>
  <w:abstractNum w:abstractNumId="446">
    <w:nsid w:val="1DCDF795"/>
    <w:multiLevelType w:val="hybridMultilevel"/>
    <w:lvl w:ilvl="0">
      <w:lvlJc w:val="left"/>
      <w:lvlText w:val="(%1)"/>
      <w:numFmt w:val="lowerRoman"/>
      <w:start w:val="1"/>
    </w:lvl>
  </w:abstractNum>
  <w:abstractNum w:abstractNumId="447">
    <w:nsid w:val="564580C8"/>
    <w:multiLevelType w:val="hybridMultilevel"/>
    <w:lvl w:ilvl="0">
      <w:lvlJc w:val="left"/>
      <w:lvlText w:val="(%1)"/>
      <w:numFmt w:val="lowerRoman"/>
      <w:start w:val="3"/>
    </w:lvl>
    <w:lvl w:ilvl="1">
      <w:lvlJc w:val="left"/>
      <w:lvlText w:val="(%2)"/>
      <w:numFmt w:val="lowerLetter"/>
      <w:start w:val="4"/>
    </w:lvl>
  </w:abstractNum>
  <w:abstractNum w:abstractNumId="448">
    <w:nsid w:val="508ED897"/>
    <w:multiLevelType w:val="hybridMultilevel"/>
    <w:lvl w:ilvl="0">
      <w:lvlJc w:val="left"/>
      <w:lvlText w:val="(%1)"/>
      <w:numFmt w:val="decimal"/>
      <w:start w:val="3"/>
    </w:lvl>
  </w:abstractNum>
  <w:abstractNum w:abstractNumId="449">
    <w:nsid w:val="6A9126B5"/>
    <w:multiLevelType w:val="hybridMultilevel"/>
    <w:lvl w:ilvl="0">
      <w:lvlJc w:val="left"/>
      <w:lvlText w:val="(%1)"/>
      <w:numFmt w:val="decimal"/>
      <w:start w:val="4"/>
    </w:lvl>
  </w:abstractNum>
  <w:abstractNum w:abstractNumId="450">
    <w:nsid w:val="68104812"/>
    <w:multiLevelType w:val="hybridMultilevel"/>
    <w:lvl w:ilvl="0">
      <w:lvlJc w:val="left"/>
      <w:lvlText w:val="%1"/>
      <w:numFmt w:val="lowerLetter"/>
      <w:start w:val="1"/>
    </w:lvl>
    <w:lvl w:ilvl="1">
      <w:lvlJc w:val="left"/>
      <w:lvlText w:val="(%2)"/>
      <w:numFmt w:val="decimal"/>
      <w:start w:val="6"/>
    </w:lvl>
  </w:abstractNum>
  <w:abstractNum w:abstractNumId="451">
    <w:nsid w:val="62FB8680"/>
    <w:multiLevelType w:val="hybridMultilevel"/>
    <w:lvl w:ilvl="0">
      <w:lvlJc w:val="left"/>
      <w:lvlText w:val="(%1)"/>
      <w:numFmt w:val="lowerLetter"/>
      <w:start w:val="2"/>
    </w:lvl>
    <w:lvl w:ilvl="1">
      <w:lvlJc w:val="left"/>
      <w:lvlText w:val="%2"/>
      <w:numFmt w:val="decimal"/>
      <w:start w:val="1"/>
    </w:lvl>
  </w:abstractNum>
  <w:abstractNum w:abstractNumId="452">
    <w:nsid w:val="3A45530"/>
    <w:multiLevelType w:val="hybridMultilevel"/>
    <w:lvl w:ilvl="0">
      <w:lvlJc w:val="left"/>
      <w:lvlText w:val="(%1)"/>
      <w:numFmt w:val="lowerRoman"/>
      <w:start w:val="1"/>
    </w:lvl>
  </w:abstractNum>
  <w:abstractNum w:abstractNumId="453">
    <w:nsid w:val="4B9275D2"/>
    <w:multiLevelType w:val="hybridMultilevel"/>
    <w:lvl w:ilvl="0">
      <w:lvlJc w:val="left"/>
      <w:lvlText w:val="(%1)"/>
      <w:numFmt w:val="lowerRoman"/>
      <w:start w:val="3"/>
    </w:lvl>
  </w:abstractNum>
  <w:abstractNum w:abstractNumId="454">
    <w:nsid w:val="4F0CEEDB"/>
    <w:multiLevelType w:val="hybridMultilevel"/>
    <w:lvl w:ilvl="0">
      <w:lvlJc w:val="left"/>
      <w:lvlText w:val="(%1)"/>
      <w:numFmt w:val="decimal"/>
      <w:start w:val="9"/>
    </w:lvl>
  </w:abstractNum>
  <w:abstractNum w:abstractNumId="455">
    <w:nsid w:val="61C30361"/>
    <w:multiLevelType w:val="hybridMultilevel"/>
    <w:lvl w:ilvl="0">
      <w:lvlJc w:val="left"/>
      <w:lvlText w:val="%1"/>
      <w:numFmt w:val="lowerLetter"/>
      <w:start w:val="1"/>
    </w:lvl>
    <w:lvl w:ilvl="1">
      <w:lvlJc w:val="left"/>
      <w:lvlText w:val="(%2)"/>
      <w:numFmt w:val="decimal"/>
      <w:start w:val="10"/>
    </w:lvl>
  </w:abstractNum>
  <w:abstractNum w:abstractNumId="456">
    <w:nsid w:val="632099E0"/>
    <w:multiLevelType w:val="hybridMultilevel"/>
    <w:lvl w:ilvl="0">
      <w:lvlJc w:val="left"/>
      <w:lvlText w:val="(%1)"/>
      <w:numFmt w:val="lowerLetter"/>
      <w:start w:val="5"/>
    </w:lvl>
    <w:lvl w:ilvl="1">
      <w:lvlJc w:val="left"/>
      <w:lvlText w:val="(%2)"/>
      <w:numFmt w:val="decimal"/>
      <w:start w:val="12"/>
    </w:lvl>
  </w:abstractNum>
  <w:abstractNum w:abstractNumId="457">
    <w:nsid w:val="24639756"/>
    <w:multiLevelType w:val="hybridMultilevel"/>
    <w:lvl w:ilvl="0">
      <w:lvlJc w:val="left"/>
      <w:lvlText w:val="(%1)"/>
      <w:numFmt w:val="lowerRoman"/>
      <w:start w:val="2"/>
    </w:lvl>
  </w:abstractNum>
  <w:abstractNum w:abstractNumId="458">
    <w:nsid w:val="9D30DFD"/>
    <w:multiLevelType w:val="hybridMultilevel"/>
    <w:lvl w:ilvl="0">
      <w:lvlJc w:val="left"/>
      <w:lvlText w:val="(%1)"/>
      <w:numFmt w:val="decimal"/>
      <w:start w:val="13"/>
    </w:lvl>
  </w:abstractNum>
  <w:abstractNum w:abstractNumId="459">
    <w:nsid w:val="70A42016"/>
    <w:multiLevelType w:val="hybridMultilevel"/>
    <w:lvl w:ilvl="0">
      <w:lvlJc w:val="left"/>
      <w:lvlText w:val="(%1)"/>
      <w:numFmt w:val="lowerLetter"/>
      <w:start w:val="4"/>
    </w:lvl>
  </w:abstractNum>
  <w:abstractNum w:abstractNumId="460">
    <w:nsid w:val="161BC243"/>
    <w:multiLevelType w:val="hybridMultilevel"/>
    <w:lvl w:ilvl="0">
      <w:lvlJc w:val="left"/>
      <w:lvlText w:val="(%1)"/>
      <w:numFmt w:val="lowerLetter"/>
      <w:start w:val="2"/>
    </w:lvl>
  </w:abstractNum>
  <w:abstractNum w:abstractNumId="461">
    <w:nsid w:val="16E908C8"/>
    <w:multiLevelType w:val="hybridMultilevel"/>
    <w:lvl w:ilvl="0">
      <w:lvlJc w:val="left"/>
      <w:lvlText w:val="(%1)"/>
      <w:numFmt w:val="decimal"/>
      <w:start w:val="1"/>
    </w:lvl>
  </w:abstractNum>
  <w:abstractNum w:abstractNumId="462">
    <w:nsid w:val="2E0D7671"/>
    <w:multiLevelType w:val="hybridMultilevel"/>
    <w:lvl w:ilvl="0">
      <w:lvlJc w:val="left"/>
      <w:lvlText w:val="(%1)"/>
      <w:numFmt w:val="decimal"/>
      <w:start w:val="1"/>
    </w:lvl>
  </w:abstractNum>
  <w:abstractNum w:abstractNumId="463">
    <w:nsid w:val="38B59EFF"/>
    <w:multiLevelType w:val="hybridMultilevel"/>
    <w:lvl w:ilvl="0">
      <w:lvlJc w:val="left"/>
      <w:lvlText w:val="(%1)"/>
      <w:numFmt w:val="decimal"/>
      <w:start w:val="2"/>
    </w:lvl>
  </w:abstractNum>
  <w:abstractNum w:abstractNumId="464">
    <w:nsid w:val="307995CA"/>
    <w:multiLevelType w:val="hybridMultilevel"/>
    <w:lvl w:ilvl="0">
      <w:lvlJc w:val="left"/>
      <w:lvlText w:val="(%1)"/>
      <w:numFmt w:val="decimal"/>
      <w:start w:val="1"/>
    </w:lvl>
    <w:lvl w:ilvl="1">
      <w:lvlJc w:val="left"/>
      <w:lvlText w:val="(%2)"/>
      <w:numFmt w:val="lowerLetter"/>
      <w:start w:val="1"/>
    </w:lvl>
  </w:abstractNum>
  <w:abstractNum w:abstractNumId="465">
    <w:nsid w:val="52E2024D"/>
    <w:multiLevelType w:val="hybridMultilevel"/>
    <w:lvl w:ilvl="0">
      <w:lvlJc w:val="left"/>
      <w:lvlText w:val="(%1)"/>
      <w:numFmt w:val="lowerLetter"/>
      <w:start w:val="3"/>
    </w:lvl>
  </w:abstractNum>
  <w:abstractNum w:abstractNumId="466">
    <w:nsid w:val="CE344B5"/>
    <w:multiLevelType w:val="hybridMultilevel"/>
    <w:lvl w:ilvl="0">
      <w:lvlJc w:val="left"/>
      <w:lvlText w:val="(%1)"/>
      <w:numFmt w:val="lowerLetter"/>
      <w:start w:val="1"/>
    </w:lvl>
  </w:abstractNum>
  <w:abstractNum w:abstractNumId="467">
    <w:nsid w:val="29B0E9A8"/>
    <w:multiLevelType w:val="hybridMultilevel"/>
    <w:lvl w:ilvl="0">
      <w:lvlJc w:val="left"/>
      <w:lvlText w:val="(%1)"/>
      <w:numFmt w:val="lowerLetter"/>
      <w:start w:val="2"/>
    </w:lvl>
  </w:abstractNum>
  <w:abstractNum w:abstractNumId="468">
    <w:nsid w:val="6F49CD8A"/>
    <w:multiLevelType w:val="hybridMultilevel"/>
    <w:lvl w:ilvl="0">
      <w:lvlJc w:val="left"/>
      <w:lvlText w:val="(%1)"/>
      <w:numFmt w:val="lowerLetter"/>
      <w:start w:val="1"/>
    </w:lvl>
  </w:abstractNum>
  <w:abstractNum w:abstractNumId="469">
    <w:nsid w:val="4DC5D907"/>
    <w:multiLevelType w:val="hybridMultilevel"/>
    <w:lvl w:ilvl="0">
      <w:lvlJc w:val="left"/>
      <w:lvlText w:val="%1."/>
      <w:numFmt w:val="decimal"/>
      <w:start w:val="1"/>
    </w:lvl>
    <w:lvl w:ilvl="1">
      <w:lvlJc w:val="left"/>
      <w:lvlText w:val="(%2)"/>
      <w:numFmt w:val="lowerLetter"/>
      <w:start w:val="1"/>
    </w:lvl>
  </w:abstractNum>
  <w:abstractNum w:abstractNumId="470">
    <w:nsid w:val="D55945E"/>
    <w:multiLevelType w:val="hybridMultilevel"/>
    <w:lvl w:ilvl="0">
      <w:lvlJc w:val="left"/>
      <w:lvlText w:val="%1."/>
      <w:numFmt w:val="decimal"/>
      <w:start w:val="1"/>
    </w:lvl>
    <w:lvl w:ilvl="1">
      <w:lvlJc w:val="left"/>
      <w:lvlText w:val="(%2)"/>
      <w:numFmt w:val="lowerLetter"/>
      <w:start w:val="1"/>
    </w:lvl>
  </w:abstractNum>
  <w:abstractNum w:abstractNumId="471">
    <w:nsid w:val="672417E1"/>
    <w:multiLevelType w:val="hybridMultilevel"/>
    <w:lvl w:ilvl="0">
      <w:lvlJc w:val="left"/>
      <w:lvlText w:val="(%1)"/>
      <w:numFmt w:val="decimal"/>
      <w:start w:val="1"/>
    </w:lvl>
  </w:abstractNum>
  <w:abstractNum w:abstractNumId="472">
    <w:nsid w:val="5FF6CA0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441" Type="http://schemas.openxmlformats.org/officeDocument/2006/relationships/image" Target="media/image411.png"/><Relationship Id="rId442" Type="http://schemas.openxmlformats.org/officeDocument/2006/relationships/image" Target="media/image412.png"/><Relationship Id="rId443" Type="http://schemas.openxmlformats.org/officeDocument/2006/relationships/image" Target="media/image413.png"/><Relationship Id="rId444" Type="http://schemas.openxmlformats.org/officeDocument/2006/relationships/image" Target="media/image414.png"/><Relationship Id="rId445" Type="http://schemas.openxmlformats.org/officeDocument/2006/relationships/image" Target="media/image415.png"/><Relationship Id="rId446" Type="http://schemas.openxmlformats.org/officeDocument/2006/relationships/image" Target="media/image416.png"/><Relationship Id="rId447" Type="http://schemas.openxmlformats.org/officeDocument/2006/relationships/image" Target="media/image417.png"/><Relationship Id="rId448" Type="http://schemas.openxmlformats.org/officeDocument/2006/relationships/image" Target="media/image418.png"/><Relationship Id="rId449" Type="http://schemas.openxmlformats.org/officeDocument/2006/relationships/image" Target="media/image419.png"/><Relationship Id="rId450" Type="http://schemas.openxmlformats.org/officeDocument/2006/relationships/image" Target="media/image420.png"/><Relationship Id="rId451" Type="http://schemas.openxmlformats.org/officeDocument/2006/relationships/image" Target="media/image421.png"/><Relationship Id="rId452" Type="http://schemas.openxmlformats.org/officeDocument/2006/relationships/image" Target="media/image422.png"/><Relationship Id="rId453" Type="http://schemas.openxmlformats.org/officeDocument/2006/relationships/image" Target="media/image423.png"/><Relationship Id="rId454" Type="http://schemas.openxmlformats.org/officeDocument/2006/relationships/image" Target="media/image424.png"/><Relationship Id="rId455" Type="http://schemas.openxmlformats.org/officeDocument/2006/relationships/image" Target="media/image425.png"/><Relationship Id="rId456" Type="http://schemas.openxmlformats.org/officeDocument/2006/relationships/image" Target="media/image426.png"/><Relationship Id="rId457" Type="http://schemas.openxmlformats.org/officeDocument/2006/relationships/image" Target="media/image427.png"/><Relationship Id="rId458" Type="http://schemas.openxmlformats.org/officeDocument/2006/relationships/image" Target="media/image428.png"/><Relationship Id="rId459" Type="http://schemas.openxmlformats.org/officeDocument/2006/relationships/image" Target="media/image429.png"/><Relationship Id="rId460" Type="http://schemas.openxmlformats.org/officeDocument/2006/relationships/image" Target="media/image430.png"/><Relationship Id="rId461" Type="http://schemas.openxmlformats.org/officeDocument/2006/relationships/image" Target="media/image431.png"/><Relationship Id="rId462" Type="http://schemas.openxmlformats.org/officeDocument/2006/relationships/image" Target="media/image432.png"/><Relationship Id="rId463" Type="http://schemas.openxmlformats.org/officeDocument/2006/relationships/image" Target="media/image433.png"/><Relationship Id="rId464" Type="http://schemas.openxmlformats.org/officeDocument/2006/relationships/image" Target="media/image434.png"/><Relationship Id="rId465" Type="http://schemas.openxmlformats.org/officeDocument/2006/relationships/image" Target="media/image435.png"/><Relationship Id="rId466" Type="http://schemas.openxmlformats.org/officeDocument/2006/relationships/image" Target="media/image436.png"/><Relationship Id="rId467" Type="http://schemas.openxmlformats.org/officeDocument/2006/relationships/image" Target="media/image437.png"/><Relationship Id="rId468" Type="http://schemas.openxmlformats.org/officeDocument/2006/relationships/image" Target="media/image438.png"/><Relationship Id="rId469" Type="http://schemas.openxmlformats.org/officeDocument/2006/relationships/image" Target="media/image439.png"/><Relationship Id="rId470" Type="http://schemas.openxmlformats.org/officeDocument/2006/relationships/image" Target="media/image440.png"/><Relationship Id="rId471" Type="http://schemas.openxmlformats.org/officeDocument/2006/relationships/image" Target="media/image441.png"/><Relationship Id="rId472" Type="http://schemas.openxmlformats.org/officeDocument/2006/relationships/image" Target="media/image442.png"/><Relationship Id="rId473" Type="http://schemas.openxmlformats.org/officeDocument/2006/relationships/image" Target="media/image443.png"/><Relationship Id="rId474" Type="http://schemas.openxmlformats.org/officeDocument/2006/relationships/image" Target="media/image444.png"/><Relationship Id="rId475" Type="http://schemas.openxmlformats.org/officeDocument/2006/relationships/image" Target="media/image445.png"/><Relationship Id="rId476" Type="http://schemas.openxmlformats.org/officeDocument/2006/relationships/image" Target="media/image446.png"/><Relationship Id="rId477" Type="http://schemas.openxmlformats.org/officeDocument/2006/relationships/image" Target="media/image447.png"/><Relationship Id="rId478" Type="http://schemas.openxmlformats.org/officeDocument/2006/relationships/image" Target="media/image448.png"/><Relationship Id="rId479" Type="http://schemas.openxmlformats.org/officeDocument/2006/relationships/image" Target="media/image449.png"/><Relationship Id="rId480" Type="http://schemas.openxmlformats.org/officeDocument/2006/relationships/image" Target="media/image450.png"/><Relationship Id="rId481" Type="http://schemas.openxmlformats.org/officeDocument/2006/relationships/image" Target="media/image451.png"/><Relationship Id="rId482" Type="http://schemas.openxmlformats.org/officeDocument/2006/relationships/image" Target="media/image452.png"/><Relationship Id="rId483" Type="http://schemas.openxmlformats.org/officeDocument/2006/relationships/image" Target="media/image453.png"/><Relationship Id="rId484" Type="http://schemas.openxmlformats.org/officeDocument/2006/relationships/image" Target="media/image454.png"/><Relationship Id="rId485" Type="http://schemas.openxmlformats.org/officeDocument/2006/relationships/image" Target="media/image455.png"/><Relationship Id="rId486" Type="http://schemas.openxmlformats.org/officeDocument/2006/relationships/image" Target="media/image456.png"/><Relationship Id="rId487" Type="http://schemas.openxmlformats.org/officeDocument/2006/relationships/image" Target="media/image457.png"/><Relationship Id="rId488" Type="http://schemas.openxmlformats.org/officeDocument/2006/relationships/image" Target="media/image458.png"/><Relationship Id="rId489" Type="http://schemas.openxmlformats.org/officeDocument/2006/relationships/image" Target="media/image459.png"/><Relationship Id="rId490" Type="http://schemas.openxmlformats.org/officeDocument/2006/relationships/image" Target="media/image460.png"/><Relationship Id="rId491" Type="http://schemas.openxmlformats.org/officeDocument/2006/relationships/image" Target="media/image461.png"/><Relationship Id="rId492" Type="http://schemas.openxmlformats.org/officeDocument/2006/relationships/image" Target="media/image462.png"/><Relationship Id="rId493" Type="http://schemas.openxmlformats.org/officeDocument/2006/relationships/image" Target="media/image463.png"/><Relationship Id="rId494" Type="http://schemas.openxmlformats.org/officeDocument/2006/relationships/image" Target="media/image464.png"/><Relationship Id="rId495" Type="http://schemas.openxmlformats.org/officeDocument/2006/relationships/image" Target="media/image465.png"/><Relationship Id="rId496" Type="http://schemas.openxmlformats.org/officeDocument/2006/relationships/image" Target="media/image466.png"/><Relationship Id="rId497" Type="http://schemas.openxmlformats.org/officeDocument/2006/relationships/image" Target="media/image467.png"/><Relationship Id="rId498" Type="http://schemas.openxmlformats.org/officeDocument/2006/relationships/image" Target="media/image468.png"/><Relationship Id="rId499" Type="http://schemas.openxmlformats.org/officeDocument/2006/relationships/image" Target="media/image469.png"/><Relationship Id="rId500" Type="http://schemas.openxmlformats.org/officeDocument/2006/relationships/image" Target="media/image470.png"/><Relationship Id="rId501" Type="http://schemas.openxmlformats.org/officeDocument/2006/relationships/image" Target="media/image471.png"/><Relationship Id="rId502" Type="http://schemas.openxmlformats.org/officeDocument/2006/relationships/image" Target="media/image472.png"/><Relationship Id="rId503" Type="http://schemas.openxmlformats.org/officeDocument/2006/relationships/image" Target="media/image473.png"/><Relationship Id="rId504" Type="http://schemas.openxmlformats.org/officeDocument/2006/relationships/image" Target="media/image474.png"/><Relationship Id="rId505" Type="http://schemas.openxmlformats.org/officeDocument/2006/relationships/image" Target="media/image475.png"/><Relationship Id="rId506" Type="http://schemas.openxmlformats.org/officeDocument/2006/relationships/image" Target="media/image476.png"/><Relationship Id="rId507" Type="http://schemas.openxmlformats.org/officeDocument/2006/relationships/image" Target="media/image477.png"/><Relationship Id="rId508" Type="http://schemas.openxmlformats.org/officeDocument/2006/relationships/image" Target="media/image478.png"/><Relationship Id="rId509" Type="http://schemas.openxmlformats.org/officeDocument/2006/relationships/image" Target="media/image479.png"/><Relationship Id="rId510" Type="http://schemas.openxmlformats.org/officeDocument/2006/relationships/image" Target="media/image480.png"/><Relationship Id="rId511" Type="http://schemas.openxmlformats.org/officeDocument/2006/relationships/image" Target="media/image481.png"/><Relationship Id="rId512" Type="http://schemas.openxmlformats.org/officeDocument/2006/relationships/image" Target="media/image482.png"/><Relationship Id="rId513" Type="http://schemas.openxmlformats.org/officeDocument/2006/relationships/image" Target="media/image483.png"/><Relationship Id="rId514" Type="http://schemas.openxmlformats.org/officeDocument/2006/relationships/image" Target="media/image484.png"/><Relationship Id="rId515" Type="http://schemas.openxmlformats.org/officeDocument/2006/relationships/image" Target="media/image485.png"/><Relationship Id="rId516" Type="http://schemas.openxmlformats.org/officeDocument/2006/relationships/image" Target="media/image486.png"/><Relationship Id="rId517" Type="http://schemas.openxmlformats.org/officeDocument/2006/relationships/image" Target="media/image487.png"/><Relationship Id="rId518" Type="http://schemas.openxmlformats.org/officeDocument/2006/relationships/image" Target="media/image488.png"/><Relationship Id="rId519" Type="http://schemas.openxmlformats.org/officeDocument/2006/relationships/image" Target="media/image489.png"/><Relationship Id="rId520" Type="http://schemas.openxmlformats.org/officeDocument/2006/relationships/image" Target="media/image490.png"/><Relationship Id="rId521" Type="http://schemas.openxmlformats.org/officeDocument/2006/relationships/image" Target="media/image491.png"/><Relationship Id="rId522" Type="http://schemas.openxmlformats.org/officeDocument/2006/relationships/image" Target="media/image492.png"/><Relationship Id="rId523" Type="http://schemas.openxmlformats.org/officeDocument/2006/relationships/image" Target="media/image493.png"/><Relationship Id="rId524" Type="http://schemas.openxmlformats.org/officeDocument/2006/relationships/image" Target="media/image494.png"/><Relationship Id="rId525" Type="http://schemas.openxmlformats.org/officeDocument/2006/relationships/image" Target="media/image495.png"/><Relationship Id="rId526" Type="http://schemas.openxmlformats.org/officeDocument/2006/relationships/image" Target="media/image496.png"/><Relationship Id="rId527" Type="http://schemas.openxmlformats.org/officeDocument/2006/relationships/image" Target="media/image497.png"/><Relationship Id="rId528" Type="http://schemas.openxmlformats.org/officeDocument/2006/relationships/image" Target="media/image498.png"/><Relationship Id="rId529" Type="http://schemas.openxmlformats.org/officeDocument/2006/relationships/image" Target="media/image499.png"/><Relationship Id="rId530" Type="http://schemas.openxmlformats.org/officeDocument/2006/relationships/image" Target="media/image500.png"/><Relationship Id="rId531" Type="http://schemas.openxmlformats.org/officeDocument/2006/relationships/image" Target="media/image501.png"/><Relationship Id="rId532" Type="http://schemas.openxmlformats.org/officeDocument/2006/relationships/image" Target="media/image502.png"/><Relationship Id="rId533" Type="http://schemas.openxmlformats.org/officeDocument/2006/relationships/image" Target="media/image503.png"/><Relationship Id="rId534" Type="http://schemas.openxmlformats.org/officeDocument/2006/relationships/image" Target="media/image504.png"/><Relationship Id="rId535" Type="http://schemas.openxmlformats.org/officeDocument/2006/relationships/image" Target="media/image505.png"/><Relationship Id="rId536" Type="http://schemas.openxmlformats.org/officeDocument/2006/relationships/image" Target="media/image506.png"/><Relationship Id="rId537" Type="http://schemas.openxmlformats.org/officeDocument/2006/relationships/image" Target="media/image507.png"/><Relationship Id="rId538"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1" Type="http://schemas.openxmlformats.org/officeDocument/2006/relationships/image" Target="media/image511.png"/><Relationship Id="rId542" Type="http://schemas.openxmlformats.org/officeDocument/2006/relationships/image" Target="media/image512.png"/><Relationship Id="rId543" Type="http://schemas.openxmlformats.org/officeDocument/2006/relationships/image" Target="media/image513.png"/><Relationship Id="rId544" Type="http://schemas.openxmlformats.org/officeDocument/2006/relationships/image" Target="media/image514.png"/><Relationship Id="rId545" Type="http://schemas.openxmlformats.org/officeDocument/2006/relationships/image" Target="media/image515.png"/><Relationship Id="rId546" Type="http://schemas.openxmlformats.org/officeDocument/2006/relationships/image" Target="media/image516.png"/><Relationship Id="rId547" Type="http://schemas.openxmlformats.org/officeDocument/2006/relationships/image" Target="media/image517.png"/><Relationship Id="rId548" Type="http://schemas.openxmlformats.org/officeDocument/2006/relationships/image" Target="media/image518.png"/><Relationship Id="rId549" Type="http://schemas.openxmlformats.org/officeDocument/2006/relationships/image" Target="media/image519.png"/><Relationship Id="rId550" Type="http://schemas.openxmlformats.org/officeDocument/2006/relationships/image" Target="media/image520.png"/><Relationship Id="rId551" Type="http://schemas.openxmlformats.org/officeDocument/2006/relationships/image" Target="media/image521.png"/><Relationship Id="rId552"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55" Type="http://schemas.openxmlformats.org/officeDocument/2006/relationships/image" Target="media/image525.png"/><Relationship Id="rId556"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1" Type="http://schemas.openxmlformats.org/officeDocument/2006/relationships/image" Target="media/image531.png"/><Relationship Id="rId562" Type="http://schemas.openxmlformats.org/officeDocument/2006/relationships/image" Target="media/image532.png"/><Relationship Id="rId563" Type="http://schemas.openxmlformats.org/officeDocument/2006/relationships/image" Target="media/image533.png"/><Relationship Id="rId564" Type="http://schemas.openxmlformats.org/officeDocument/2006/relationships/image" Target="media/image534.png"/><Relationship Id="rId565" Type="http://schemas.openxmlformats.org/officeDocument/2006/relationships/image" Target="media/image535.png"/><Relationship Id="rId566" Type="http://schemas.openxmlformats.org/officeDocument/2006/relationships/image" Target="media/image536.png"/><Relationship Id="rId567" Type="http://schemas.openxmlformats.org/officeDocument/2006/relationships/image" Target="media/image537.png"/><Relationship Id="rId568" Type="http://schemas.openxmlformats.org/officeDocument/2006/relationships/image" Target="media/image538.png"/><Relationship Id="rId569" Type="http://schemas.openxmlformats.org/officeDocument/2006/relationships/image" Target="media/image539.png"/><Relationship Id="rId570" Type="http://schemas.openxmlformats.org/officeDocument/2006/relationships/image" Target="media/image540.png"/><Relationship Id="rId571" Type="http://schemas.openxmlformats.org/officeDocument/2006/relationships/image" Target="media/image541.png"/><Relationship Id="rId572" Type="http://schemas.openxmlformats.org/officeDocument/2006/relationships/image" Target="media/image542.png"/><Relationship Id="rId573" Type="http://schemas.openxmlformats.org/officeDocument/2006/relationships/image" Target="media/image543.png"/><Relationship Id="rId574" Type="http://schemas.openxmlformats.org/officeDocument/2006/relationships/image" Target="media/image544.png"/><Relationship Id="rId575" Type="http://schemas.openxmlformats.org/officeDocument/2006/relationships/image" Target="media/image545.png"/><Relationship Id="rId576" Type="http://schemas.openxmlformats.org/officeDocument/2006/relationships/image" Target="media/image546.png"/><Relationship Id="rId577" Type="http://schemas.openxmlformats.org/officeDocument/2006/relationships/image" Target="media/image547.png"/><Relationship Id="rId578" Type="http://schemas.openxmlformats.org/officeDocument/2006/relationships/image" Target="media/image548.png"/><Relationship Id="rId579" Type="http://schemas.openxmlformats.org/officeDocument/2006/relationships/image" Target="media/image549.png"/><Relationship Id="rId580" Type="http://schemas.openxmlformats.org/officeDocument/2006/relationships/image" Target="media/image550.png"/><Relationship Id="rId581" Type="http://schemas.openxmlformats.org/officeDocument/2006/relationships/image" Target="media/image551.png"/><Relationship Id="rId582" Type="http://schemas.openxmlformats.org/officeDocument/2006/relationships/image" Target="media/image552.png"/><Relationship Id="rId583" Type="http://schemas.openxmlformats.org/officeDocument/2006/relationships/image" Target="media/image553.png"/><Relationship Id="rId584" Type="http://schemas.openxmlformats.org/officeDocument/2006/relationships/image" Target="media/image554.png"/><Relationship Id="rId585" Type="http://schemas.openxmlformats.org/officeDocument/2006/relationships/image" Target="media/image555.png"/><Relationship Id="rId586" Type="http://schemas.openxmlformats.org/officeDocument/2006/relationships/image" Target="media/image556.png"/><Relationship Id="rId587" Type="http://schemas.openxmlformats.org/officeDocument/2006/relationships/image" Target="media/image557.png"/><Relationship Id="rId588" Type="http://schemas.openxmlformats.org/officeDocument/2006/relationships/image" Target="media/image558.png"/><Relationship Id="rId589" Type="http://schemas.openxmlformats.org/officeDocument/2006/relationships/image" Target="media/image559.png"/><Relationship Id="rId590" Type="http://schemas.openxmlformats.org/officeDocument/2006/relationships/image" Target="media/image560.png"/><Relationship Id="rId591" Type="http://schemas.openxmlformats.org/officeDocument/2006/relationships/image" Target="media/image561.png"/><Relationship Id="rId592" Type="http://schemas.openxmlformats.org/officeDocument/2006/relationships/image" Target="media/image562.png"/><Relationship Id="rId593" Type="http://schemas.openxmlformats.org/officeDocument/2006/relationships/image" Target="media/image563.png"/><Relationship Id="rId594" Type="http://schemas.openxmlformats.org/officeDocument/2006/relationships/image" Target="media/image564.png"/><Relationship Id="rId595" Type="http://schemas.openxmlformats.org/officeDocument/2006/relationships/image" Target="media/image565.png"/><Relationship Id="rId596" Type="http://schemas.openxmlformats.org/officeDocument/2006/relationships/image" Target="media/image566.png"/><Relationship Id="rId597" Type="http://schemas.openxmlformats.org/officeDocument/2006/relationships/image" Target="media/image567.png"/><Relationship Id="rId598" Type="http://schemas.openxmlformats.org/officeDocument/2006/relationships/image" Target="media/image568.png"/><Relationship Id="rId599" Type="http://schemas.openxmlformats.org/officeDocument/2006/relationships/image" Target="media/image569.png"/><Relationship Id="rId600" Type="http://schemas.openxmlformats.org/officeDocument/2006/relationships/image" Target="media/image570.png"/><Relationship Id="rId601" Type="http://schemas.openxmlformats.org/officeDocument/2006/relationships/image" Target="media/image571.png"/><Relationship Id="rId602" Type="http://schemas.openxmlformats.org/officeDocument/2006/relationships/image" Target="media/image572.png"/><Relationship Id="rId603" Type="http://schemas.openxmlformats.org/officeDocument/2006/relationships/image" Target="media/image573.png"/><Relationship Id="rId604" Type="http://schemas.openxmlformats.org/officeDocument/2006/relationships/image" Target="media/image574.png"/><Relationship Id="rId605" Type="http://schemas.openxmlformats.org/officeDocument/2006/relationships/image" Target="media/image575.png"/><Relationship Id="rId606" Type="http://schemas.openxmlformats.org/officeDocument/2006/relationships/image" Target="media/image576.png"/><Relationship Id="rId607" Type="http://schemas.openxmlformats.org/officeDocument/2006/relationships/image" Target="media/image577.png"/><Relationship Id="rId608" Type="http://schemas.openxmlformats.org/officeDocument/2006/relationships/image" Target="media/image578.png"/><Relationship Id="rId609" Type="http://schemas.openxmlformats.org/officeDocument/2006/relationships/image" Target="media/image579.png"/><Relationship Id="rId610" Type="http://schemas.openxmlformats.org/officeDocument/2006/relationships/image" Target="media/image580.png"/><Relationship Id="rId611" Type="http://schemas.openxmlformats.org/officeDocument/2006/relationships/image" Target="media/image581.png"/><Relationship Id="rId612" Type="http://schemas.openxmlformats.org/officeDocument/2006/relationships/image" Target="media/image582.png"/><Relationship Id="rId613" Type="http://schemas.openxmlformats.org/officeDocument/2006/relationships/image" Target="media/image583.png"/><Relationship Id="rId614" Type="http://schemas.openxmlformats.org/officeDocument/2006/relationships/image" Target="media/image584.png"/><Relationship Id="rId615" Type="http://schemas.openxmlformats.org/officeDocument/2006/relationships/image" Target="media/image585.png"/><Relationship Id="rId616" Type="http://schemas.openxmlformats.org/officeDocument/2006/relationships/image" Target="media/image586.png"/><Relationship Id="rId617" Type="http://schemas.openxmlformats.org/officeDocument/2006/relationships/image" Target="media/image587.png"/><Relationship Id="rId618" Type="http://schemas.openxmlformats.org/officeDocument/2006/relationships/image" Target="media/image588.png"/><Relationship Id="rId619" Type="http://schemas.openxmlformats.org/officeDocument/2006/relationships/image" Target="media/image589.png"/><Relationship Id="rId620" Type="http://schemas.openxmlformats.org/officeDocument/2006/relationships/image" Target="media/image590.png"/><Relationship Id="rId621" Type="http://schemas.openxmlformats.org/officeDocument/2006/relationships/image" Target="media/image591.png"/><Relationship Id="rId622" Type="http://schemas.openxmlformats.org/officeDocument/2006/relationships/image" Target="media/image592.png"/><Relationship Id="rId623" Type="http://schemas.openxmlformats.org/officeDocument/2006/relationships/image" Target="media/image593.png"/><Relationship Id="rId624" Type="http://schemas.openxmlformats.org/officeDocument/2006/relationships/image" Target="media/image594.png"/><Relationship Id="rId625" Type="http://schemas.openxmlformats.org/officeDocument/2006/relationships/image" Target="media/image595.png"/><Relationship Id="rId626" Type="http://schemas.openxmlformats.org/officeDocument/2006/relationships/image" Target="media/image596.png"/><Relationship Id="rId627" Type="http://schemas.openxmlformats.org/officeDocument/2006/relationships/image" Target="media/image597.png"/><Relationship Id="rId628" Type="http://schemas.openxmlformats.org/officeDocument/2006/relationships/image" Target="media/image598.png"/><Relationship Id="rId629" Type="http://schemas.openxmlformats.org/officeDocument/2006/relationships/image" Target="media/image599.png"/><Relationship Id="rId630" Type="http://schemas.openxmlformats.org/officeDocument/2006/relationships/image" Target="media/image600.png"/><Relationship Id="rId631" Type="http://schemas.openxmlformats.org/officeDocument/2006/relationships/image" Target="media/image601.png"/><Relationship Id="rId632" Type="http://schemas.openxmlformats.org/officeDocument/2006/relationships/image" Target="media/image602.png"/><Relationship Id="rId633" Type="http://schemas.openxmlformats.org/officeDocument/2006/relationships/image" Target="media/image603.png"/><Relationship Id="rId634" Type="http://schemas.openxmlformats.org/officeDocument/2006/relationships/image" Target="media/image604.png"/><Relationship Id="rId635" Type="http://schemas.openxmlformats.org/officeDocument/2006/relationships/image" Target="media/image605.png"/><Relationship Id="rId636" Type="http://schemas.openxmlformats.org/officeDocument/2006/relationships/image" Target="media/image606.png"/><Relationship Id="rId637" Type="http://schemas.openxmlformats.org/officeDocument/2006/relationships/image" Target="media/image607.png"/><Relationship Id="rId638" Type="http://schemas.openxmlformats.org/officeDocument/2006/relationships/image" Target="media/image608.png"/><Relationship Id="rId639" Type="http://schemas.openxmlformats.org/officeDocument/2006/relationships/image" Target="media/image609.png"/><Relationship Id="rId640" Type="http://schemas.openxmlformats.org/officeDocument/2006/relationships/image" Target="media/image610.png"/><Relationship Id="rId641" Type="http://schemas.openxmlformats.org/officeDocument/2006/relationships/image" Target="media/image611.png"/><Relationship Id="rId642" Type="http://schemas.openxmlformats.org/officeDocument/2006/relationships/image" Target="media/image612.png"/><Relationship Id="rId643" Type="http://schemas.openxmlformats.org/officeDocument/2006/relationships/image" Target="media/image613.png"/><Relationship Id="rId644" Type="http://schemas.openxmlformats.org/officeDocument/2006/relationships/image" Target="media/image614.png"/><Relationship Id="rId645" Type="http://schemas.openxmlformats.org/officeDocument/2006/relationships/image" Target="media/image615.png"/><Relationship Id="rId646" Type="http://schemas.openxmlformats.org/officeDocument/2006/relationships/image" Target="media/image616.png"/><Relationship Id="rId647" Type="http://schemas.openxmlformats.org/officeDocument/2006/relationships/image" Target="media/image617.png"/><Relationship Id="rId648" Type="http://schemas.openxmlformats.org/officeDocument/2006/relationships/image" Target="media/image618.png"/><Relationship Id="rId649" Type="http://schemas.openxmlformats.org/officeDocument/2006/relationships/image" Target="media/image619.png"/><Relationship Id="rId650" Type="http://schemas.openxmlformats.org/officeDocument/2006/relationships/image" Target="media/image620.png"/><Relationship Id="rId651" Type="http://schemas.openxmlformats.org/officeDocument/2006/relationships/image" Target="media/image621.png"/><Relationship Id="rId652" Type="http://schemas.openxmlformats.org/officeDocument/2006/relationships/image" Target="media/image622.png"/><Relationship Id="rId653" Type="http://schemas.openxmlformats.org/officeDocument/2006/relationships/image" Target="media/image623.png"/><Relationship Id="rId654" Type="http://schemas.openxmlformats.org/officeDocument/2006/relationships/image" Target="media/image624.png"/><Relationship Id="rId655" Type="http://schemas.openxmlformats.org/officeDocument/2006/relationships/image" Target="media/image625.png"/><Relationship Id="rId656" Type="http://schemas.openxmlformats.org/officeDocument/2006/relationships/image" Target="media/image626.png"/><Relationship Id="rId657" Type="http://schemas.openxmlformats.org/officeDocument/2006/relationships/image" Target="media/image627.png"/><Relationship Id="rId658" Type="http://schemas.openxmlformats.org/officeDocument/2006/relationships/image" Target="media/image628.png"/><Relationship Id="rId659" Type="http://schemas.openxmlformats.org/officeDocument/2006/relationships/image" Target="media/image629.png"/><Relationship Id="rId660" Type="http://schemas.openxmlformats.org/officeDocument/2006/relationships/image" Target="media/image630.png"/><Relationship Id="rId661" Type="http://schemas.openxmlformats.org/officeDocument/2006/relationships/image" Target="media/image631.png"/><Relationship Id="rId662" Type="http://schemas.openxmlformats.org/officeDocument/2006/relationships/image" Target="media/image632.png"/><Relationship Id="rId663" Type="http://schemas.openxmlformats.org/officeDocument/2006/relationships/image" Target="media/image633.png"/><Relationship Id="rId664" Type="http://schemas.openxmlformats.org/officeDocument/2006/relationships/image" Target="media/image634.png"/><Relationship Id="rId665" Type="http://schemas.openxmlformats.org/officeDocument/2006/relationships/image" Target="media/image635.png"/><Relationship Id="rId666" Type="http://schemas.openxmlformats.org/officeDocument/2006/relationships/image" Target="media/image636.png"/><Relationship Id="rId667" Type="http://schemas.openxmlformats.org/officeDocument/2006/relationships/image" Target="media/image637.png"/><Relationship Id="rId668" Type="http://schemas.openxmlformats.org/officeDocument/2006/relationships/image" Target="media/image638.png"/><Relationship Id="rId669" Type="http://schemas.openxmlformats.org/officeDocument/2006/relationships/image" Target="media/image639.png"/><Relationship Id="rId670" Type="http://schemas.openxmlformats.org/officeDocument/2006/relationships/image" Target="media/image640.png"/><Relationship Id="rId671" Type="http://schemas.openxmlformats.org/officeDocument/2006/relationships/image" Target="media/image641.png"/><Relationship Id="rId672" Type="http://schemas.openxmlformats.org/officeDocument/2006/relationships/image" Target="media/image642.png"/><Relationship Id="rId673" Type="http://schemas.openxmlformats.org/officeDocument/2006/relationships/image" Target="media/image643.png"/><Relationship Id="rId674" Type="http://schemas.openxmlformats.org/officeDocument/2006/relationships/image" Target="media/image644.png"/><Relationship Id="rId675" Type="http://schemas.openxmlformats.org/officeDocument/2006/relationships/image" Target="media/image645.png"/><Relationship Id="rId676" Type="http://schemas.openxmlformats.org/officeDocument/2006/relationships/image" Target="media/image646.png"/><Relationship Id="rId677" Type="http://schemas.openxmlformats.org/officeDocument/2006/relationships/image" Target="media/image647.png"/><Relationship Id="rId678" Type="http://schemas.openxmlformats.org/officeDocument/2006/relationships/image" Target="media/image648.png"/><Relationship Id="rId679" Type="http://schemas.openxmlformats.org/officeDocument/2006/relationships/image" Target="media/image649.png"/><Relationship Id="rId680" Type="http://schemas.openxmlformats.org/officeDocument/2006/relationships/image" Target="media/image650.png"/><Relationship Id="rId681" Type="http://schemas.openxmlformats.org/officeDocument/2006/relationships/image" Target="media/image651.png"/><Relationship Id="rId682" Type="http://schemas.openxmlformats.org/officeDocument/2006/relationships/image" Target="media/image652.png"/><Relationship Id="rId683" Type="http://schemas.openxmlformats.org/officeDocument/2006/relationships/image" Target="media/image653.png"/><Relationship Id="rId684" Type="http://schemas.openxmlformats.org/officeDocument/2006/relationships/image" Target="media/image654.png"/><Relationship Id="rId685" Type="http://schemas.openxmlformats.org/officeDocument/2006/relationships/image" Target="media/image655.png"/><Relationship Id="rId686" Type="http://schemas.openxmlformats.org/officeDocument/2006/relationships/image" Target="media/image656.png"/><Relationship Id="rId687" Type="http://schemas.openxmlformats.org/officeDocument/2006/relationships/image" Target="media/image657.png"/><Relationship Id="rId688" Type="http://schemas.openxmlformats.org/officeDocument/2006/relationships/image" Target="media/image658.png"/><Relationship Id="rId689" Type="http://schemas.openxmlformats.org/officeDocument/2006/relationships/image" Target="media/image659.png"/><Relationship Id="rId690" Type="http://schemas.openxmlformats.org/officeDocument/2006/relationships/image" Target="media/image660.png"/><Relationship Id="rId691" Type="http://schemas.openxmlformats.org/officeDocument/2006/relationships/image" Target="media/image661.png"/><Relationship Id="rId692" Type="http://schemas.openxmlformats.org/officeDocument/2006/relationships/image" Target="media/image662.png"/><Relationship Id="rId693" Type="http://schemas.openxmlformats.org/officeDocument/2006/relationships/image" Target="media/image663.png"/><Relationship Id="rId694" Type="http://schemas.openxmlformats.org/officeDocument/2006/relationships/image" Target="media/image664.png"/><Relationship Id="rId695" Type="http://schemas.openxmlformats.org/officeDocument/2006/relationships/image" Target="media/image665.png"/><Relationship Id="rId696" Type="http://schemas.openxmlformats.org/officeDocument/2006/relationships/image" Target="media/image666.png"/><Relationship Id="rId697" Type="http://schemas.openxmlformats.org/officeDocument/2006/relationships/image" Target="media/image667.png"/><Relationship Id="rId698" Type="http://schemas.openxmlformats.org/officeDocument/2006/relationships/image" Target="media/image668.png"/><Relationship Id="rId699" Type="http://schemas.openxmlformats.org/officeDocument/2006/relationships/image" Target="media/image669.png"/><Relationship Id="rId700" Type="http://schemas.openxmlformats.org/officeDocument/2006/relationships/image" Target="media/image670.png"/><Relationship Id="rId701" Type="http://schemas.openxmlformats.org/officeDocument/2006/relationships/image" Target="media/image671.png"/><Relationship Id="rId702" Type="http://schemas.openxmlformats.org/officeDocument/2006/relationships/image" Target="media/image672.png"/><Relationship Id="rId703" Type="http://schemas.openxmlformats.org/officeDocument/2006/relationships/image" Target="media/image673.png"/><Relationship Id="rId704" Type="http://schemas.openxmlformats.org/officeDocument/2006/relationships/image" Target="media/image674.png"/><Relationship Id="rId705" Type="http://schemas.openxmlformats.org/officeDocument/2006/relationships/image" Target="media/image675.png"/><Relationship Id="rId706" Type="http://schemas.openxmlformats.org/officeDocument/2006/relationships/image" Target="media/image676.png"/><Relationship Id="rId707" Type="http://schemas.openxmlformats.org/officeDocument/2006/relationships/image" Target="media/image677.png"/><Relationship Id="rId708" Type="http://schemas.openxmlformats.org/officeDocument/2006/relationships/image" Target="media/image678.png"/><Relationship Id="rId709" Type="http://schemas.openxmlformats.org/officeDocument/2006/relationships/image" Target="media/image679.png"/><Relationship Id="rId710" Type="http://schemas.openxmlformats.org/officeDocument/2006/relationships/image" Target="media/image680.png"/><Relationship Id="rId711" Type="http://schemas.openxmlformats.org/officeDocument/2006/relationships/image" Target="media/image681.png"/><Relationship Id="rId712" Type="http://schemas.openxmlformats.org/officeDocument/2006/relationships/image" Target="media/image682.png"/><Relationship Id="rId713" Type="http://schemas.openxmlformats.org/officeDocument/2006/relationships/image" Target="media/image683.png"/><Relationship Id="rId714" Type="http://schemas.openxmlformats.org/officeDocument/2006/relationships/image" Target="media/image684.png"/><Relationship Id="rId715" Type="http://schemas.openxmlformats.org/officeDocument/2006/relationships/image" Target="media/image685.png"/><Relationship Id="rId716" Type="http://schemas.openxmlformats.org/officeDocument/2006/relationships/image" Target="media/image686.png"/><Relationship Id="rId717" Type="http://schemas.openxmlformats.org/officeDocument/2006/relationships/image" Target="media/image687.png"/><Relationship Id="rId718" Type="http://schemas.openxmlformats.org/officeDocument/2006/relationships/image" Target="media/image688.png"/><Relationship Id="rId719" Type="http://schemas.openxmlformats.org/officeDocument/2006/relationships/image" Target="media/image689.png"/><Relationship Id="rId720" Type="http://schemas.openxmlformats.org/officeDocument/2006/relationships/image" Target="media/image690.png"/><Relationship Id="rId721" Type="http://schemas.openxmlformats.org/officeDocument/2006/relationships/image" Target="media/image691.png"/><Relationship Id="rId722" Type="http://schemas.openxmlformats.org/officeDocument/2006/relationships/image" Target="media/image692.png"/><Relationship Id="rId723" Type="http://schemas.openxmlformats.org/officeDocument/2006/relationships/image" Target="media/image693.png"/><Relationship Id="rId724" Type="http://schemas.openxmlformats.org/officeDocument/2006/relationships/image" Target="media/image694.png"/><Relationship Id="rId725" Type="http://schemas.openxmlformats.org/officeDocument/2006/relationships/image" Target="media/image695.png"/><Relationship Id="rId726" Type="http://schemas.openxmlformats.org/officeDocument/2006/relationships/image" Target="media/image696.png"/><Relationship Id="rId727" Type="http://schemas.openxmlformats.org/officeDocument/2006/relationships/image" Target="media/image697.png"/><Relationship Id="rId728" Type="http://schemas.openxmlformats.org/officeDocument/2006/relationships/image" Target="media/image698.png"/><Relationship Id="rId111" Type="http://schemas.openxmlformats.org/officeDocument/2006/relationships/hyperlink" Target="https://www.sec.gov/Archives/edgar/data/1845257/000119312521191198/d176095dex31.htm" TargetMode="External"/><Relationship Id="rId112" Type="http://schemas.openxmlformats.org/officeDocument/2006/relationships/hyperlink" Target="https://www.sec.gov/Archives/edgar/data/1845257/000095017023006541/lfst-ex3_1.htm" TargetMode="External"/><Relationship Id="rId113" Type="http://schemas.openxmlformats.org/officeDocument/2006/relationships/hyperlink" Target="https://www.sec.gov/Archives/edgar/data/1845257/000119312521177685/d112007dex41.htm" TargetMode="External"/><Relationship Id="rId114" Type="http://schemas.openxmlformats.org/officeDocument/2006/relationships/hyperlink" Target="https://www.sec.gov/Archives/edgar/data/1845257/000095017022004096/lfst-ex4_2.htm" TargetMode="External"/><Relationship Id="rId115" Type="http://schemas.openxmlformats.org/officeDocument/2006/relationships/hyperlink" Target="https://www.sec.gov/Archives/edgar/data/1845257/000119312521191198/d176095dex101.htm" TargetMode="External"/><Relationship Id="rId116" Type="http://schemas.openxmlformats.org/officeDocument/2006/relationships/hyperlink" Target="https://www.sec.gov/Archives/edgar/data/1845257/000119312521191198/d176095dex102.htm" TargetMode="External"/><Relationship Id="rId117" Type="http://schemas.openxmlformats.org/officeDocument/2006/relationships/hyperlink" Target="https://www.sec.gov/Archives/edgar/data/1845257/000095017022023899/lfst-ex10_8.htm" TargetMode="External"/><Relationship Id="rId118" Type="http://schemas.openxmlformats.org/officeDocument/2006/relationships/hyperlink" Target="https://www.sec.gov/Archives/edgar/data/1845257/000119312521163638/d112007dex109.htm" TargetMode="External"/><Relationship Id="rId119" Type="http://schemas.openxmlformats.org/officeDocument/2006/relationships/hyperlink" Target="https://www.sec.gov/Archives/edgar/data/1845257/000095017022023899/lfst-ex10_9.htm" TargetMode="External"/><Relationship Id="rId120" Type="http://schemas.openxmlformats.org/officeDocument/2006/relationships/hyperlink" Target="https://www.sec.gov/Archives/edgar/data/1845257/000095017023007018/lfst-ex10_30.htm" TargetMode="External"/><Relationship Id="rId121" Type="http://schemas.openxmlformats.org/officeDocument/2006/relationships/hyperlink" Target="https://www.sec.gov/Archives/edgar/data/1845257/000119312521191198/d176095dex104.htm" TargetMode="External"/><Relationship Id="rId122" Type="http://schemas.openxmlformats.org/officeDocument/2006/relationships/hyperlink" Target="https://www.sec.gov/Archives/edgar/data/1845257/000119312521191198/d176095dex105.htm" TargetMode="External"/><Relationship Id="rId123" Type="http://schemas.openxmlformats.org/officeDocument/2006/relationships/hyperlink" Target="https://www.sec.gov/Archives/edgar/data/1845257/000119312521191198/d176095dex106.htm" TargetMode="External"/><Relationship Id="rId124" Type="http://schemas.openxmlformats.org/officeDocument/2006/relationships/hyperlink" Target="https://www.sec.gov/Archives/edgar/data/1845257/000119312521163638/d112007dex1017.htm" TargetMode="External"/><Relationship Id="rId125" Type="http://schemas.openxmlformats.org/officeDocument/2006/relationships/hyperlink" Target="https://www.sec.gov/Archives/edgar/data/1845257/000119312521163638/d112007dex1019.htm" TargetMode="External"/><Relationship Id="rId126" Type="http://schemas.openxmlformats.org/officeDocument/2006/relationships/hyperlink" Target="https://www.sec.gov/Archives/edgar/data/1845257/000119312521177685/d112007dex1012.htm" TargetMode="External"/><Relationship Id="rId127" Type="http://schemas.openxmlformats.org/officeDocument/2006/relationships/hyperlink" Target="https://www.sec.gov/Archives/edgar/data/1845257/000119312521177685/d112007dex1013.htm" TargetMode="External"/><Relationship Id="rId128" Type="http://schemas.openxmlformats.org/officeDocument/2006/relationships/hyperlink" Target="https://www.sec.gov/Archives/edgar/data/1845257/000095017022023899/lfst-ex10_10.htm" TargetMode="External"/><Relationship Id="rId129" Type="http://schemas.openxmlformats.org/officeDocument/2006/relationships/hyperlink" Target="https://www.sec.gov/Archives/edgar/data/1845257/000095017023007018/lfst-ex10_28.htm" TargetMode="External"/><Relationship Id="rId130" Type="http://schemas.openxmlformats.org/officeDocument/2006/relationships/hyperlink" Target="https://www.sec.gov/Archives/edgar/data/1845257/000095017023007018/lfst-ex10_29.htm" TargetMode="External"/><Relationship Id="rId131" Type="http://schemas.openxmlformats.org/officeDocument/2006/relationships/hyperlink" Target="https://www.sec.gov/Archives/edgar/data/1845257/000095017022016508/lfst-ex10_6.htm" TargetMode="External"/><Relationship Id="rId132" Type="http://schemas.openxmlformats.org/officeDocument/2006/relationships/hyperlink" Target="https://www.sec.gov/Archives/edgar/data/1845257/000095017024094105/lfst-ex10_2.htm" TargetMode="External"/><Relationship Id="rId135" Type="http://schemas.openxmlformats.org/officeDocument/2006/relationships/hyperlink" Target="https://www.sec.gov/Archives/edgar/data/1845257/000095017024022131/lfs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2025-02-27T16:56:42Z</dcterms:created>
  <dcterms:modified xsi:type="dcterms:W3CDTF">2025-02-27T16:56:42Z</dcterms:modified>
</cp:coreProperties>
</file>