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0001977613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3"/>
        <w:gridCol w:w="4602"/>
      </w:tblGrid>
      <w:tr>
        <w:trPr/>
        <w:tc>
          <w:tcPr>
            <w:tcW w:w="5603" w:type="dxa"/>
            <w:tcBorders/>
            <w:vAlign w:val="center"/>
          </w:tcPr>
          <w:p>
            <w:pPr>
              <w:pStyle w:val="TableContents"/>
              <w:bidi w:val="0"/>
              <w:spacing w:before="0" w:after="283"/>
              <w:jc w:val="left"/>
              <w:rPr/>
            </w:pPr>
            <w:r>
              <w:rPr/>
              <w:t>Name of Issuer</w:t>
            </w:r>
          </w:p>
        </w:tc>
        <w:tc>
          <w:tcPr>
            <w:tcW w:w="4602" w:type="dxa"/>
            <w:tcBorders/>
            <w:vAlign w:val="center"/>
          </w:tcPr>
          <w:p>
            <w:pPr>
              <w:pStyle w:val="TableContents"/>
              <w:bidi w:val="0"/>
              <w:spacing w:before="0" w:after="0"/>
              <w:jc w:val="left"/>
              <w:rPr/>
            </w:pPr>
            <w:r>
              <w:rPr/>
              <w:t>LifeStance Health Group, Inc.</w:t>
            </w:r>
          </w:p>
        </w:tc>
      </w:tr>
      <w:tr>
        <w:trPr/>
        <w:tc>
          <w:tcPr>
            <w:tcW w:w="5603" w:type="dxa"/>
            <w:tcBorders/>
            <w:vAlign w:val="center"/>
          </w:tcPr>
          <w:p>
            <w:pPr>
              <w:pStyle w:val="TableContents"/>
              <w:bidi w:val="0"/>
              <w:spacing w:before="0" w:after="283"/>
              <w:jc w:val="left"/>
              <w:rPr/>
            </w:pPr>
            <w:r>
              <w:rPr/>
              <w:t>SEC File Number</w:t>
            </w:r>
          </w:p>
        </w:tc>
        <w:tc>
          <w:tcPr>
            <w:tcW w:w="4602" w:type="dxa"/>
            <w:tcBorders/>
            <w:vAlign w:val="center"/>
          </w:tcPr>
          <w:p>
            <w:pPr>
              <w:pStyle w:val="TableContents"/>
              <w:bidi w:val="0"/>
              <w:spacing w:before="0" w:after="0"/>
              <w:jc w:val="left"/>
              <w:rPr/>
            </w:pPr>
            <w:r>
              <w:rPr/>
              <w:t>001-40478</w:t>
            </w:r>
          </w:p>
        </w:tc>
      </w:tr>
      <w:tr>
        <w:trPr/>
        <w:tc>
          <w:tcPr>
            <w:tcW w:w="5603" w:type="dxa"/>
            <w:tcBorders/>
            <w:vAlign w:val="center"/>
          </w:tcPr>
          <w:p>
            <w:pPr>
              <w:pStyle w:val="TableContents"/>
              <w:bidi w:val="0"/>
              <w:spacing w:before="0" w:after="283"/>
              <w:jc w:val="left"/>
              <w:rPr/>
            </w:pPr>
            <w:r>
              <w:rPr/>
              <w:t>Address of Issuer</w:t>
            </w:r>
          </w:p>
        </w:tc>
        <w:tc>
          <w:tcPr>
            <w:tcW w:w="4602" w:type="dxa"/>
            <w:tcBorders/>
            <w:vAlign w:val="center"/>
          </w:tcPr>
          <w:p>
            <w:pPr>
              <w:pStyle w:val="TableContents"/>
              <w:bidi w:val="0"/>
              <w:spacing w:before="0" w:after="0"/>
              <w:jc w:val="left"/>
              <w:rPr/>
            </w:pPr>
            <w:r>
              <w:rPr/>
              <w:t>4800 N. Scottsdale Road</w:t>
              <w:br/>
              <w:t>Suite 2500</w:t>
              <w:br/>
              <w:t>Scottsdale</w:t>
              <w:br/>
              <w:t xml:space="preserve">ARIZONA </w:t>
              <w:br/>
              <w:t>85251</w:t>
            </w:r>
          </w:p>
        </w:tc>
      </w:tr>
      <w:tr>
        <w:trPr/>
        <w:tc>
          <w:tcPr>
            <w:tcW w:w="5603" w:type="dxa"/>
            <w:tcBorders/>
            <w:vAlign w:val="center"/>
          </w:tcPr>
          <w:p>
            <w:pPr>
              <w:pStyle w:val="TableContents"/>
              <w:bidi w:val="0"/>
              <w:spacing w:before="0" w:after="283"/>
              <w:jc w:val="left"/>
              <w:rPr/>
            </w:pPr>
            <w:r>
              <w:rPr/>
              <w:t>Phone</w:t>
            </w:r>
          </w:p>
        </w:tc>
        <w:tc>
          <w:tcPr>
            <w:tcW w:w="4602" w:type="dxa"/>
            <w:tcBorders/>
            <w:vAlign w:val="center"/>
          </w:tcPr>
          <w:p>
            <w:pPr>
              <w:pStyle w:val="TableContents"/>
              <w:bidi w:val="0"/>
              <w:spacing w:before="0" w:after="0"/>
              <w:jc w:val="left"/>
              <w:rPr/>
            </w:pPr>
            <w:r>
              <w:rPr/>
              <w:t>602-767-2100</w:t>
            </w:r>
          </w:p>
        </w:tc>
      </w:tr>
      <w:tr>
        <w:trPr/>
        <w:tc>
          <w:tcPr>
            <w:tcW w:w="5603" w:type="dxa"/>
            <w:tcBorders/>
            <w:vAlign w:val="center"/>
          </w:tcPr>
          <w:p>
            <w:pPr>
              <w:pStyle w:val="TableContents"/>
              <w:bidi w:val="0"/>
              <w:spacing w:before="0" w:after="283"/>
              <w:jc w:val="left"/>
              <w:rPr/>
            </w:pPr>
            <w:r>
              <w:rPr/>
              <w:t>Name of Person for Whose Account the Securities are To Be Sold</w:t>
            </w:r>
          </w:p>
        </w:tc>
        <w:tc>
          <w:tcPr>
            <w:tcW w:w="4602" w:type="dxa"/>
            <w:tcBorders/>
            <w:vAlign w:val="center"/>
          </w:tcPr>
          <w:p>
            <w:pPr>
              <w:pStyle w:val="TableContents"/>
              <w:bidi w:val="0"/>
              <w:spacing w:before="0" w:after="0"/>
              <w:jc w:val="left"/>
              <w:rPr/>
            </w:pPr>
            <w:r>
              <w:rPr/>
              <w:t>TPG VIII Lynnwood Holdings Aggregation,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3" w:type="dxa"/>
            <w:tcBorders/>
            <w:vAlign w:val="center"/>
          </w:tcPr>
          <w:p>
            <w:pPr>
              <w:pStyle w:val="TableContents"/>
              <w:bidi w:val="0"/>
              <w:spacing w:before="0" w:after="283"/>
              <w:jc w:val="left"/>
              <w:rPr/>
            </w:pPr>
            <w:r>
              <w:rPr/>
              <w:t>Relationship to Issuer</w:t>
            </w:r>
          </w:p>
        </w:tc>
        <w:tc>
          <w:tcPr>
            <w:tcW w:w="4602" w:type="dxa"/>
            <w:tcBorders/>
            <w:vAlign w:val="center"/>
          </w:tcPr>
          <w:p>
            <w:pPr>
              <w:pStyle w:val="TableContents"/>
              <w:bidi w:val="0"/>
              <w:spacing w:before="0" w:after="0"/>
              <w:jc w:val="left"/>
              <w:rPr/>
            </w:pPr>
            <w:r>
              <w:rPr/>
              <w:t>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96"/>
        <w:gridCol w:w="1367"/>
        <w:gridCol w:w="1192"/>
        <w:gridCol w:w="1613"/>
        <w:gridCol w:w="1482"/>
        <w:gridCol w:w="1525"/>
        <w:gridCol w:w="1630"/>
      </w:tblGrid>
      <w:tr>
        <w:trPr/>
        <w:tc>
          <w:tcPr>
            <w:tcW w:w="1396" w:type="dxa"/>
            <w:tcBorders/>
            <w:vAlign w:val="center"/>
          </w:tcPr>
          <w:p>
            <w:pPr>
              <w:pStyle w:val="TableHeading"/>
              <w:suppressLineNumbers/>
              <w:bidi w:val="0"/>
              <w:spacing w:before="0" w:after="283"/>
              <w:jc w:val="center"/>
              <w:rPr/>
            </w:pPr>
            <w:r>
              <w:rPr/>
              <w:t>Title of the Class of Securities To Be Sold</w:t>
            </w:r>
          </w:p>
        </w:tc>
        <w:tc>
          <w:tcPr>
            <w:tcW w:w="1367" w:type="dxa"/>
            <w:tcBorders/>
            <w:vAlign w:val="center"/>
          </w:tcPr>
          <w:p>
            <w:pPr>
              <w:pStyle w:val="TableHeading"/>
              <w:suppressLineNumbers/>
              <w:bidi w:val="0"/>
              <w:spacing w:before="0" w:after="283"/>
              <w:jc w:val="center"/>
              <w:rPr/>
            </w:pPr>
            <w:r>
              <w:rPr/>
              <w:t>Name and Address of the Broker</w:t>
            </w:r>
          </w:p>
        </w:tc>
        <w:tc>
          <w:tcPr>
            <w:tcW w:w="1192" w:type="dxa"/>
            <w:tcBorders/>
            <w:vAlign w:val="center"/>
          </w:tcPr>
          <w:p>
            <w:pPr>
              <w:pStyle w:val="TableHeading"/>
              <w:suppressLineNumbers/>
              <w:bidi w:val="0"/>
              <w:spacing w:before="0" w:after="283"/>
              <w:jc w:val="center"/>
              <w:rPr/>
            </w:pPr>
            <w:r>
              <w:rPr/>
              <w:t>Number of Shares or Other Units To Be Sold</w:t>
            </w:r>
          </w:p>
        </w:tc>
        <w:tc>
          <w:tcPr>
            <w:tcW w:w="1613" w:type="dxa"/>
            <w:tcBorders/>
            <w:vAlign w:val="center"/>
          </w:tcPr>
          <w:p>
            <w:pPr>
              <w:pStyle w:val="TableHeading"/>
              <w:suppressLineNumbers/>
              <w:bidi w:val="0"/>
              <w:spacing w:before="0" w:after="283"/>
              <w:jc w:val="center"/>
              <w:rPr/>
            </w:pPr>
            <w:r>
              <w:rPr/>
              <w:t>Aggregate Market Value</w:t>
            </w:r>
          </w:p>
        </w:tc>
        <w:tc>
          <w:tcPr>
            <w:tcW w:w="1482" w:type="dxa"/>
            <w:tcBorders/>
            <w:vAlign w:val="center"/>
          </w:tcPr>
          <w:p>
            <w:pPr>
              <w:pStyle w:val="TableHeading"/>
              <w:suppressLineNumbers/>
              <w:bidi w:val="0"/>
              <w:spacing w:before="0" w:after="283"/>
              <w:jc w:val="center"/>
              <w:rPr/>
            </w:pPr>
            <w:r>
              <w:rPr/>
              <w:t>Number of Shares or Other Units Outstanding</w:t>
            </w:r>
          </w:p>
        </w:tc>
        <w:tc>
          <w:tcPr>
            <w:tcW w:w="1525" w:type="dxa"/>
            <w:tcBorders/>
            <w:vAlign w:val="center"/>
          </w:tcPr>
          <w:p>
            <w:pPr>
              <w:pStyle w:val="TableHeading"/>
              <w:suppressLineNumbers/>
              <w:bidi w:val="0"/>
              <w:spacing w:before="0" w:after="283"/>
              <w:jc w:val="center"/>
              <w:rPr/>
            </w:pPr>
            <w:r>
              <w:rPr/>
              <w:t>Approximate Date of Sale</w:t>
            </w:r>
          </w:p>
        </w:tc>
        <w:tc>
          <w:tcPr>
            <w:tcW w:w="1630" w:type="dxa"/>
            <w:tcBorders/>
            <w:vAlign w:val="center"/>
          </w:tcPr>
          <w:p>
            <w:pPr>
              <w:pStyle w:val="TableHeading"/>
              <w:suppressLineNumbers/>
              <w:bidi w:val="0"/>
              <w:spacing w:before="0" w:after="283"/>
              <w:jc w:val="center"/>
              <w:rPr/>
            </w:pPr>
            <w:r>
              <w:rPr/>
              <w:t>Name the Securities Exchange</w:t>
            </w:r>
          </w:p>
        </w:tc>
      </w:tr>
      <w:tr>
        <w:trPr/>
        <w:tc>
          <w:tcPr>
            <w:tcW w:w="1396" w:type="dxa"/>
            <w:tcBorders/>
            <w:vAlign w:val="center"/>
          </w:tcPr>
          <w:p>
            <w:pPr>
              <w:pStyle w:val="TableContents"/>
              <w:bidi w:val="0"/>
              <w:spacing w:before="0" w:after="283"/>
              <w:jc w:val="left"/>
              <w:rPr/>
            </w:pPr>
            <w:r>
              <w:rPr/>
              <w:t>Common Stock, par value $0.01 per share</w:t>
            </w:r>
          </w:p>
        </w:tc>
        <w:tc>
          <w:tcPr>
            <w:tcW w:w="1367" w:type="dxa"/>
            <w:tcBorders/>
            <w:vAlign w:val="center"/>
          </w:tcPr>
          <w:p>
            <w:pPr>
              <w:pStyle w:val="TableContents"/>
              <w:bidi w:val="0"/>
              <w:spacing w:before="0" w:after="0"/>
              <w:jc w:val="left"/>
              <w:rPr/>
            </w:pPr>
            <w:r>
              <w:rPr/>
              <w:t>Citadel Securities, LLC</w:t>
              <w:br/>
              <w:t>830 Brickell Plaza</w:t>
              <w:br/>
              <w:t>Miami   FL   33131</w:t>
            </w:r>
          </w:p>
        </w:tc>
        <w:tc>
          <w:tcPr>
            <w:tcW w:w="1192" w:type="dxa"/>
            <w:tcBorders/>
            <w:vAlign w:val="center"/>
          </w:tcPr>
          <w:p>
            <w:pPr>
              <w:pStyle w:val="TableContents"/>
              <w:bidi w:val="0"/>
              <w:spacing w:before="0" w:after="283"/>
              <w:jc w:val="left"/>
              <w:rPr/>
            </w:pPr>
            <w:r>
              <w:rPr/>
              <w:t>13643207</w:t>
            </w:r>
          </w:p>
        </w:tc>
        <w:tc>
          <w:tcPr>
            <w:tcW w:w="1613" w:type="dxa"/>
            <w:tcBorders/>
            <w:vAlign w:val="center"/>
          </w:tcPr>
          <w:p>
            <w:pPr>
              <w:pStyle w:val="TableContents"/>
              <w:bidi w:val="0"/>
              <w:spacing w:before="0" w:after="283"/>
              <w:jc w:val="left"/>
              <w:rPr/>
            </w:pPr>
            <w:r>
              <w:rPr/>
              <w:t>147892363.88</w:t>
            </w:r>
          </w:p>
        </w:tc>
        <w:tc>
          <w:tcPr>
            <w:tcW w:w="1482" w:type="dxa"/>
            <w:tcBorders/>
            <w:vAlign w:val="center"/>
          </w:tcPr>
          <w:p>
            <w:pPr>
              <w:pStyle w:val="TableContents"/>
              <w:bidi w:val="0"/>
              <w:spacing w:before="0" w:after="283"/>
              <w:jc w:val="left"/>
              <w:rPr/>
            </w:pPr>
            <w:r>
              <w:rPr/>
              <w:t>382055609</w:t>
            </w:r>
          </w:p>
        </w:tc>
        <w:tc>
          <w:tcPr>
            <w:tcW w:w="1525" w:type="dxa"/>
            <w:tcBorders/>
            <w:vAlign w:val="center"/>
          </w:tcPr>
          <w:p>
            <w:pPr>
              <w:pStyle w:val="TableContents"/>
              <w:bidi w:val="0"/>
              <w:spacing w:before="0" w:after="283"/>
              <w:jc w:val="left"/>
              <w:rPr/>
            </w:pPr>
            <w:r>
              <w:rPr/>
              <w:t>08/10/2026</w:t>
            </w:r>
          </w:p>
        </w:tc>
        <w:tc>
          <w:tcPr>
            <w:tcW w:w="1630" w:type="dxa"/>
            <w:tcBorders/>
            <w:vAlign w:val="center"/>
          </w:tcPr>
          <w:p>
            <w:pPr>
              <w:pStyle w:val="TableContents"/>
              <w:bidi w:val="0"/>
              <w:spacing w:before="0" w:after="0"/>
              <w:jc w:val="left"/>
              <w:rPr/>
            </w:pPr>
            <w:r>
              <w:rPr/>
              <w:t>NASDAQGS</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9"/>
        <w:gridCol w:w="1104"/>
        <w:gridCol w:w="1537"/>
        <w:gridCol w:w="1138"/>
        <w:gridCol w:w="515"/>
        <w:gridCol w:w="1104"/>
        <w:gridCol w:w="1246"/>
        <w:gridCol w:w="1045"/>
        <w:gridCol w:w="1437"/>
      </w:tblGrid>
      <w:tr>
        <w:trPr/>
        <w:tc>
          <w:tcPr>
            <w:tcW w:w="1079"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537" w:type="dxa"/>
            <w:tcBorders/>
            <w:vAlign w:val="center"/>
          </w:tcPr>
          <w:p>
            <w:pPr>
              <w:pStyle w:val="TableHeading"/>
              <w:suppressLineNumbers/>
              <w:bidi w:val="0"/>
              <w:spacing w:before="0" w:after="283"/>
              <w:jc w:val="center"/>
              <w:rPr/>
            </w:pPr>
            <w:r>
              <w:rPr/>
              <w:t>Nature of Acquisition Transaction</w:t>
            </w:r>
          </w:p>
        </w:tc>
        <w:tc>
          <w:tcPr>
            <w:tcW w:w="1138"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246"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4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9" w:type="dxa"/>
            <w:tcBorders/>
            <w:vAlign w:val="center"/>
          </w:tcPr>
          <w:p>
            <w:pPr>
              <w:pStyle w:val="TableContents"/>
              <w:bidi w:val="0"/>
              <w:spacing w:before="0" w:after="283"/>
              <w:jc w:val="left"/>
              <w:rPr/>
            </w:pPr>
            <w:r>
              <w:rPr/>
              <w:t>Common Stock, par value $0.01 per share</w:t>
            </w:r>
          </w:p>
        </w:tc>
        <w:tc>
          <w:tcPr>
            <w:tcW w:w="1104" w:type="dxa"/>
            <w:tcBorders/>
            <w:vAlign w:val="center"/>
          </w:tcPr>
          <w:p>
            <w:pPr>
              <w:pStyle w:val="TableContents"/>
              <w:bidi w:val="0"/>
              <w:spacing w:before="0" w:after="283"/>
              <w:jc w:val="left"/>
              <w:rPr/>
            </w:pPr>
            <w:r>
              <w:rPr/>
              <w:t>06/09/2021</w:t>
            </w:r>
          </w:p>
        </w:tc>
        <w:tc>
          <w:tcPr>
            <w:tcW w:w="1537" w:type="dxa"/>
            <w:tcBorders/>
            <w:vAlign w:val="center"/>
          </w:tcPr>
          <w:p>
            <w:pPr>
              <w:pStyle w:val="TableContents"/>
              <w:bidi w:val="0"/>
              <w:spacing w:before="0" w:after="283"/>
              <w:jc w:val="left"/>
              <w:rPr/>
            </w:pPr>
            <w:r>
              <w:rPr/>
              <w:t>The shares of Common Stock reported herein were originally acquired by Seller from Issuer in a reorganization that preceded its initial public offering.</w:t>
            </w:r>
          </w:p>
        </w:tc>
        <w:tc>
          <w:tcPr>
            <w:tcW w:w="1138"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pPr>
            <w:r>
              <w:rPr/>
              <w:t>184902826</w:t>
            </w:r>
          </w:p>
        </w:tc>
        <w:tc>
          <w:tcPr>
            <w:tcW w:w="1045" w:type="dxa"/>
            <w:tcBorders/>
            <w:vAlign w:val="center"/>
          </w:tcPr>
          <w:p>
            <w:pPr>
              <w:pStyle w:val="TableContents"/>
              <w:bidi w:val="0"/>
              <w:spacing w:before="0" w:after="283"/>
              <w:jc w:val="left"/>
              <w:rPr/>
            </w:pPr>
            <w:r>
              <w:rPr/>
              <w:t>06/09/2021</w:t>
            </w:r>
          </w:p>
        </w:tc>
        <w:tc>
          <w:tcPr>
            <w:tcW w:w="1437" w:type="dxa"/>
            <w:tcBorders/>
            <w:vAlign w:val="center"/>
          </w:tcPr>
          <w:p>
            <w:pPr>
              <w:pStyle w:val="TableContents"/>
              <w:bidi w:val="0"/>
              <w:spacing w:before="0" w:after="283"/>
              <w:jc w:val="left"/>
              <w:rPr/>
            </w:pPr>
            <w:r>
              <w:rPr/>
              <w:t>Contribution of limited partner interests for shares of Common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105"/>
        <w:gridCol w:w="9100"/>
      </w:tblGrid>
      <w:tr>
        <w:trPr/>
        <w:tc>
          <w:tcPr>
            <w:tcW w:w="1105" w:type="dxa"/>
            <w:tcBorders/>
            <w:vAlign w:val="center"/>
          </w:tcPr>
          <w:p>
            <w:pPr>
              <w:pStyle w:val="TableContents"/>
              <w:bidi w:val="0"/>
              <w:spacing w:before="0" w:after="283"/>
              <w:jc w:val="left"/>
              <w:rPr/>
            </w:pPr>
            <w:r>
              <w:rPr/>
              <w:t>Remarks</w:t>
            </w:r>
          </w:p>
        </w:tc>
        <w:tc>
          <w:tcPr>
            <w:tcW w:w="9100" w:type="dxa"/>
            <w:tcBorders/>
            <w:vAlign w:val="center"/>
          </w:tcPr>
          <w:p>
            <w:pPr>
              <w:pStyle w:val="TableContents"/>
              <w:bidi w:val="0"/>
              <w:spacing w:before="0" w:after="0"/>
              <w:jc w:val="left"/>
              <w:rPr/>
            </w:pPr>
            <w:r>
              <w:rPr/>
              <w:t>Sales by Seller should be aggregated with the sales of shares of Common Stock of the Issuer by Summit Partners Growth Equity Fund IX-A, L.P., Summit Partners Growth Equity Fund IX-B, L.P., Summit Investors GE IX/VC IV, LLC, Summit Partners Entrepreneur Advisors Fund II, L.P. and Summit Investors GE IX/VC IV (UK), L.P. (together with Seller, the "Selling Stockholders"). The Selling Stockholders have filed separate Forms 144 for aggregate sales of 16,489,203 shares of Common Stock of the Issuer during the past three months.</w:t>
            </w:r>
          </w:p>
        </w:tc>
      </w:tr>
      <w:tr>
        <w:trPr/>
        <w:tc>
          <w:tcPr>
            <w:tcW w:w="1105" w:type="dxa"/>
            <w:tcBorders/>
            <w:vAlign w:val="center"/>
          </w:tcPr>
          <w:p>
            <w:pPr>
              <w:pStyle w:val="TableContents"/>
              <w:bidi w:val="0"/>
              <w:spacing w:before="0" w:after="283"/>
              <w:jc w:val="left"/>
              <w:rPr/>
            </w:pPr>
            <w:r>
              <w:rPr/>
              <w:t>Date of Notice</w:t>
            </w:r>
          </w:p>
        </w:tc>
        <w:tc>
          <w:tcPr>
            <w:tcW w:w="9100"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05" w:type="dxa"/>
            <w:tcBorders/>
            <w:vAlign w:val="center"/>
          </w:tcPr>
          <w:p>
            <w:pPr>
              <w:pStyle w:val="TableContents"/>
              <w:bidi w:val="0"/>
              <w:spacing w:before="0" w:after="283"/>
              <w:jc w:val="left"/>
              <w:rPr/>
            </w:pPr>
            <w:r>
              <w:rPr/>
              <w:t>Signature</w:t>
            </w:r>
          </w:p>
        </w:tc>
        <w:tc>
          <w:tcPr>
            <w:tcW w:w="9100" w:type="dxa"/>
            <w:tcBorders/>
            <w:vAlign w:val="center"/>
          </w:tcPr>
          <w:p>
            <w:pPr>
              <w:pStyle w:val="TableContents"/>
              <w:bidi w:val="0"/>
              <w:spacing w:before="0" w:after="0"/>
              <w:jc w:val="left"/>
              <w:rPr/>
            </w:pPr>
            <w:r>
              <w:rPr/>
              <w:t>/s/ Matthew White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3590</Characters>
  <CharactersWithSpaces>4235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