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58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Bessler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LIFESTANCE HEALTH GROUP, INC. 4800 N. SCOTTSDALE ROAD, SUITE 6000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SCOTTSDALE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85251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LifeStance Health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LFST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40" w:type="dxa"/>
            <w:vAlign w:val="bottom"/>
            <w:tcBorders>
              <w:bottom w:val="single" w:sz="8" w:color="0000EE"/>
            </w:tcBorders>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05/07/2026</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58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05/07/2026</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37,500</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vMerge w:val="restart"/>
          </w:tcPr>
          <w:p>
            <w:pPr>
              <w:ind w:left="1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8.55</w:t>
            </w:r>
            <w:r>
              <w:rPr>
                <w:rFonts w:ascii="Times New Roman" w:cs="Times New Roman" w:eastAsia="Times New Roman" w:hAnsi="Times New Roman"/>
                <w:sz w:val="22"/>
                <w:szCs w:val="22"/>
                <w:color w:val="008000"/>
                <w:w w:val="99"/>
                <w:vertAlign w:val="superscript"/>
              </w:rPr>
              <w:t>(1)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1,236,948</w:t>
            </w:r>
          </w:p>
        </w:tc>
        <w:tc>
          <w:tcPr>
            <w:tcW w:w="300" w:type="dxa"/>
            <w:vAlign w:val="bottom"/>
          </w:tcPr>
          <w:p>
            <w:pPr>
              <w:spacing w:after="0"/>
              <w:rPr>
                <w:sz w:val="21"/>
                <w:szCs w:val="21"/>
                <w:color w:val="auto"/>
              </w:rPr>
            </w:pPr>
          </w:p>
        </w:tc>
        <w:tc>
          <w:tcPr>
            <w:tcW w:w="560" w:type="dxa"/>
            <w:vAlign w:val="bottom"/>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Vitthal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05/07/2026</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37,500</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vMerge w:val="restart"/>
          </w:tcPr>
          <w:p>
            <w:pPr>
              <w:ind w:left="1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8.55</w:t>
            </w:r>
            <w:r>
              <w:rPr>
                <w:rFonts w:ascii="Times New Roman" w:cs="Times New Roman" w:eastAsia="Times New Roman" w:hAnsi="Times New Roman"/>
                <w:sz w:val="22"/>
                <w:szCs w:val="22"/>
                <w:color w:val="008000"/>
                <w:w w:val="99"/>
                <w:vertAlign w:val="superscript"/>
              </w:rPr>
              <w:t>(1)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1,353,746</w:t>
            </w:r>
          </w:p>
        </w:tc>
        <w:tc>
          <w:tcPr>
            <w:tcW w:w="300" w:type="dxa"/>
            <w:vAlign w:val="bottom"/>
          </w:tcPr>
          <w:p>
            <w:pPr>
              <w:spacing w:after="0"/>
              <w:rPr>
                <w:sz w:val="21"/>
                <w:szCs w:val="21"/>
                <w:color w:val="auto"/>
              </w:rPr>
            </w:pPr>
          </w:p>
        </w:tc>
        <w:tc>
          <w:tcPr>
            <w:tcW w:w="560" w:type="dxa"/>
            <w:vAlign w:val="bottom"/>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Shama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57,619</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36,363</w:t>
            </w:r>
          </w:p>
        </w:tc>
        <w:tc>
          <w:tcPr>
            <w:tcW w:w="300" w:type="dxa"/>
            <w:vAlign w:val="bottom"/>
          </w:tcPr>
          <w:p>
            <w:pPr>
              <w:spacing w:after="0"/>
              <w:rPr>
                <w:sz w:val="21"/>
                <w:szCs w:val="21"/>
                <w:color w:val="auto"/>
              </w:rPr>
            </w:pPr>
          </w:p>
        </w:tc>
        <w:tc>
          <w:tcPr>
            <w:tcW w:w="560" w:type="dxa"/>
            <w:vAlign w:val="bottom"/>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$8.40 to $8.89 inclusive. The Reporting Person undertakes to provide to the Company, any security holder of the Company or the staff of the Securities and Exchange Commission, upon request, full information regarding the number of shares sold at each separate price within the range.</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his pecuniary interest therein, and the inclusion of these securities on this report shall not be deemed an admission that the Reporting Person is the beneficial owner of the reported securities for purposes of Section 16 of the Exchange Act of 1934 (the "Exchange Act") or for any other purpose.</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his pecuniary interest therein, and the inclusion of these securities on this report shall not be deemed an admission that the Reporting Person is the beneficial owner of the reported securities for purposes of Section 16 of the Exchange Act or for any other purpose.</w:t>
      </w:r>
    </w:p>
    <w:p>
      <w:pPr>
        <w:spacing w:after="0" w:line="7" w:lineRule="exact"/>
        <w:rPr>
          <w:rFonts w:ascii="Times New Roman" w:cs="Times New Roman" w:eastAsia="Times New Roman" w:hAnsi="Times New Roman"/>
          <w:sz w:val="13"/>
          <w:szCs w:val="13"/>
          <w:color w:val="008000"/>
        </w:rPr>
      </w:pPr>
    </w:p>
    <w:p>
      <w:pPr>
        <w:jc w:val="both"/>
        <w:ind w:left="40" w:right="26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of record by Alpine Glow Capital. The Reporting Person is the manager and sole member of Alpine Glow Capital. The Reporting Person disclaims beneficial ownership of these securities except to the extent of his pecuniary interest therein, and the inclusion of these securities on this report shall not be deemed an admission that the Reporting Person is the beneficial owner of the reported securities for purposes of Section 16 of the Exchange Act or for any other purpose.</w:t>
      </w:r>
    </w:p>
    <w:p>
      <w:pPr>
        <w:ind w:left="6580"/>
        <w:spacing w:after="0" w:line="229" w:lineRule="auto"/>
        <w:tabs>
          <w:tab w:leader="none" w:pos="8760" w:val="left"/>
        </w:tabs>
        <w:rPr>
          <w:sz w:val="20"/>
          <w:szCs w:val="20"/>
          <w:color w:val="auto"/>
        </w:rPr>
      </w:pPr>
      <w:r>
        <w:rPr>
          <w:rFonts w:ascii="Times New Roman" w:cs="Times New Roman" w:eastAsia="Times New Roman" w:hAnsi="Times New Roman"/>
          <w:sz w:val="17"/>
          <w:szCs w:val="17"/>
          <w:color w:val="0000FF"/>
        </w:rPr>
        <w:t>By: /s/ Ryan Pardo, Attorney-</w:t>
      </w:r>
      <w:r>
        <w:rPr>
          <w:sz w:val="20"/>
          <w:szCs w:val="20"/>
          <w:color w:val="auto"/>
        </w:rPr>
        <w:tab/>
      </w:r>
      <w:r>
        <w:rPr>
          <w:rFonts w:ascii="Times New Roman" w:cs="Times New Roman" w:eastAsia="Times New Roman" w:hAnsi="Times New Roman"/>
          <w:sz w:val="26"/>
          <w:szCs w:val="26"/>
          <w:color w:val="0000FF"/>
          <w:vertAlign w:val="subscript"/>
        </w:rPr>
        <w:t>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2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4881" TargetMode="External"/><Relationship Id="rId14" Type="http://schemas.openxmlformats.org/officeDocument/2006/relationships/hyperlink" Target="http://www.sec.gov/cgi-bin/browse-edgar?action=getcompany&amp;CIK=00018452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2026-05-11T16:38:33Z</dcterms:created>
  <dcterms:modified xsi:type="dcterms:W3CDTF">2026-05-11T16:38:33Z</dcterms:modified>
</cp:coreProperties>
</file>