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DeLuca Teresa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LIFESTANCE HEALTH GROUP,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4800 N. SCOTTSDALE ROAD, SUITE 2500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SCOTTSDALE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AZ</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85251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LifeStance Health Group, Inc.</w:t>
              </w:r>
            </w:hyperlink>
            <w:r>
              <w:rPr/>
              <w:t xml:space="preserve"> [ </w:t>
            </w:r>
            <w:r>
              <w:rPr>
                <w:rFonts w:ascii="Times;serif" w:hAnsi="Times;serif"/>
                <w:color w:val="0000FF"/>
                <w:sz w:val="24"/>
                <w:shd w:fill="FFFFFF" w:val="clear"/>
              </w:rPr>
              <w:t>LFST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90"/>
        <w:gridCol w:w="456"/>
        <w:gridCol w:w="756"/>
        <w:gridCol w:w="1165"/>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7,500</w:t>
            </w:r>
            <w:r>
              <w:rPr>
                <w:rFonts w:ascii="Times;serif" w:hAnsi="Times;serif"/>
                <w:color w:val="008000"/>
                <w:position w:val="7"/>
                <w:sz w:val="16"/>
                <w:sz w:val="20"/>
                <w:shd w:fill="FFFFFF" w:val="clear"/>
              </w:rPr>
              <w:t>(2)</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12.68</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97,093</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Required number of shares sold by the Reporting Person to cover tax withholding obligations in connection with the vesting of restricted stock units. This sale was made to satisfy tax withholding obligations through a "sell to cover" transaction and does not represent a discretionary trade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 average price. These shares were sold in multiple transactions ranging from $12.68 to $12.695 inclusive. The Reporting Person undertakes to provide to the Company, any security holder of the Company or the staff of the Securities and Exchange Commission, upon request, full information regarding the number of shares sold at each separate price within the range.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Ryan Pardo,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85627" TargetMode="External"/><Relationship Id="rId5" Type="http://schemas.openxmlformats.org/officeDocument/2006/relationships/hyperlink" Target="http://www.sec.gov/cgi-bin/browse-edgar?action=getcompany&amp;CIK=000184525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681</Words>
  <Characters>3709</Characters>
  <CharactersWithSpaces>4322</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