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3905d424b7.htm"/>
        <w:bookmarkStart w:id="1" w:name="ksd93905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333-279585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21, 2024) </w:t>
      </w:r>
    </w:p>
    <w:p>
      <w:pPr>
        <w:pStyle w:val="TextBody"/>
        <w:bidi w:val="0"/>
        <w:spacing w:before="360" w:after="0"/>
        <w:jc w:val="center"/>
        <w:rPr>
          <w:rFonts w:ascii="Times New Roman" w:hAnsi="Times New Roman"/>
          <w:b/>
          <w:sz w:val="36"/>
        </w:rPr>
      </w:pPr>
      <w:r>
        <w:rPr>
          <w:rFonts w:ascii="Times New Roman" w:hAnsi="Times New Roman"/>
          <w:b/>
          <w:sz w:val="36"/>
        </w:rPr>
        <w:t xml:space="preserve">35,000,000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5080" cy="5880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5080" cy="5880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120" w:after="0"/>
        <w:jc w:val="center"/>
        <w:rPr>
          <w:rFonts w:ascii="Times New Roman" w:hAnsi="Times New Roman"/>
          <w:b/>
          <w:sz w:val="36"/>
        </w:rPr>
      </w:pPr>
      <w:r>
        <w:rPr>
          <w:rFonts w:ascii="Times New Roman" w:hAnsi="Times New Roman"/>
          <w:b/>
          <w:sz w:val="36"/>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identified in this prospectus supplement are offering 35,000,000 shares of common stock, par value $0.01 per share (the “common stock”), of LifeStance Health Group, Inc. (the “Company”). The Company is not selling any shares of common stock under this prospectus supplement and will not receive any proceeds from the sale of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completion of this offering, we intend to purchase from the underwriter 6,000,000 shares of our common stock that are subject to this offering at a price per share equal to the price per share paid by the underwriter to the selling stockholders in this offering (the “Share Repurchase”). The repurchased shares of common stock will no longer be outstanding after this offering. The underwriter will not receive any compensation for the shares of our common stock being purchased by us. The offering is not conditioned upon the completion of the Share Repurchase. We cannot assure you that this offering or the Share Repurchase will be consummated. Nothing in this prospectus supplement should be construed as an offer to sell, or the solicitation of an offer to buy, any shares of our common stock subject to the Repurchase.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listed on the Nasdaq Global Select Market (“Nasdaq”) under the symbol “LFST.” On May 6, 2026, the last sale price of the common stock as reported on Nasdaq was $7.36 per share.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38"/>
        <w:gridCol w:w="367"/>
        <w:gridCol w:w="140"/>
        <w:gridCol w:w="1274"/>
        <w:gridCol w:w="60"/>
        <w:gridCol w:w="367"/>
        <w:gridCol w:w="188"/>
        <w:gridCol w:w="1437"/>
        <w:gridCol w:w="60"/>
        <w:gridCol w:w="367"/>
        <w:gridCol w:w="213"/>
        <w:gridCol w:w="1995"/>
        <w:gridCol w:w="66"/>
      </w:tblGrid>
      <w:tr>
        <w:trPr/>
        <w:tc>
          <w:tcPr>
            <w:tcW w:w="2038"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w:t>
              <w:br/>
              <w:t>Offering</w:t>
              <w:br/>
              <w:t>Price</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 and</w:t>
              <w:br/>
              <w:t>Commissions(1)(2)</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w:t>
              <w:br/>
              <w:t>Selling Stockholders</w:t>
              <w:br/>
              <w:t>(Before Expenses)</w:t>
            </w:r>
          </w:p>
        </w:tc>
        <w:tc>
          <w:tcPr>
            <w:tcW w:w="66" w:type="dxa"/>
            <w:tcBorders/>
            <w:vAlign w:val="bottom"/>
          </w:tcPr>
          <w:p>
            <w:pPr>
              <w:pStyle w:val="TableContents"/>
              <w:bidi w:val="0"/>
              <w:spacing w:before="0" w:after="283"/>
              <w:jc w:val="left"/>
              <w:rPr/>
            </w:pPr>
            <w:r>
              <w:rPr/>
              <w:t> </w:t>
            </w:r>
          </w:p>
        </w:tc>
      </w:tr>
      <w:tr>
        <w:trPr/>
        <w:tc>
          <w:tcPr>
            <w:tcW w:w="2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8.15</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0.13</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8.02</w:t>
            </w:r>
          </w:p>
        </w:tc>
        <w:tc>
          <w:tcPr>
            <w:tcW w:w="66" w:type="dxa"/>
            <w:tcBorders/>
            <w:shd w:fill="CCEEFF" w:val="clear"/>
            <w:vAlign w:val="bottom"/>
          </w:tcPr>
          <w:p>
            <w:pPr>
              <w:pStyle w:val="TableContents"/>
              <w:bidi w:val="0"/>
              <w:spacing w:before="0" w:after="283"/>
              <w:jc w:val="left"/>
              <w:rPr/>
            </w:pPr>
            <w:r>
              <w:rPr/>
              <w:t> </w:t>
            </w:r>
          </w:p>
        </w:tc>
      </w:tr>
      <w:tr>
        <w:trPr/>
        <w:tc>
          <w:tcPr>
            <w:tcW w:w="203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285,250,000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3,770,000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280,700,000</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No underwriting discount will be paid on the shares of common stock sold to us pursuant to the Share Repurchase.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We have agreed to reimburse the underwriter for certain expenses in connection with this offering, other than underwriting discounts and commissions that will be borne by the selling stockholders. See “Underwriting” beginning on page S-11 of this prospectus supplement for additional information regarding underwriting compensation. </w:t>
            </w:r>
          </w:p>
        </w:tc>
      </w:tr>
    </w:tbl>
    <w:p>
      <w:pPr>
        <w:pStyle w:val="TextBody"/>
        <w:bidi w:val="0"/>
        <w:spacing w:before="240" w:after="0"/>
        <w:jc w:val="left"/>
        <w:rPr/>
      </w:pPr>
      <w:r>
        <w:rPr>
          <w:rFonts w:ascii="Times New Roman" w:hAnsi="Times New Roman"/>
          <w:b/>
          <w:sz w:val="24"/>
        </w:rPr>
        <w:t>Investing in the Company’s common stock involves risks. See “</w:t>
      </w:r>
      <w:hyperlink w:anchor="supprom93905_6">
        <w:r>
          <w:rPr>
            <w:rStyle w:val="InternetLink"/>
            <w:rFonts w:ascii="Times New Roman" w:hAnsi="Times New Roman"/>
            <w:b/>
            <w:sz w:val="24"/>
          </w:rPr>
          <w:t>Risk Factors</w:t>
        </w:r>
      </w:hyperlink>
      <w:r>
        <w:rPr>
          <w:rFonts w:ascii="Times New Roman" w:hAnsi="Times New Roman"/>
          <w:b/>
          <w:sz w:val="24"/>
        </w:rPr>
        <w:t xml:space="preserve">” beginning on page S-4 and in the documents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expects to deliver the shares of common stock on or about May 12, 2026, through the book-entry facilities of The Depository Trust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J.P. Morgan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May 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9390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2">
              <w:r>
                <w:rPr>
                  <w:rStyle w:val="InternetLink"/>
                  <w:rFonts w:ascii="Times New Roman" w:hAnsi="Times New Roman"/>
                  <w:sz w:val="20"/>
                </w:rPr>
                <w:t>WHERE YOU CAN FIND MORE INFORMATION; 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3">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9">
              <w:r>
                <w:rPr>
                  <w:rStyle w:val="InternetLink"/>
                  <w:rFonts w:ascii="Times New Roman" w:hAnsi="Times New Roman"/>
                  <w:sz w:val="20"/>
                </w:rPr>
                <w:t>MATERIAL U.S. FEDERAL INCOME TAX CONSIDERATIONS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3905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rom9390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9390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and supplements information contained in the accompanying prospectus and the documents incorporated by reference in this prospectus supplement and the accompanying prospectus. The second part is the accompanying prospectus, which describes more general information, some of which may not apply to this offering. You should read both this prospectus supplement and the accompanying prospectus, including the documents incorporated by reference herein and therein. If information in this prospectus supplement is inconsistent with the accompanying prospectus, this prospectus supplement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the accompanying prospectus or in a document incorporated or deemed to be incorporated by reference in this prospectus supplement or in the accompanying prospectus will be deemed to be modified or superseded to the extent that a statement contained in this prospectus supplement or in any other document subsequently filed with the SEC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See “Where You Can Find More Information; Incorporation of Certain Documents by Reference.” 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supplement, the accompanying prospectus and any permitted free writing prospectus. None of the Company, any selling stockholder or any underwriter has authorized anyone to provide you with any different or additional information or to make any representations about information that is not contained or incorporated by reference in this prospectus supplement, any accompanying prospectus or in any free writing prospectus that we may provide you in connection with this offering. We, the selling stockholders and the underwriter do not take any responsibility for and can provide no assurance as to the reliability of any other information or representations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any selling stockholder or any underwriter is making an offer to sell or soliciting offers to buy these securities in any jurisdiction where, or to any person to whom, the offer or sale is not permitted. The information contained or incorporated by reference in this prospectus supplement, the accompanying prospectus and any free writing prospectus that we may provide you in connection with this offering or other offering material filed by us with the SEC is accurate only as of the date of those documents or such information, regardless of the time of delivery of the documents or information or the time of any sale of the securities. Our business, financial condition, liquidity,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NONE OF THE COMPANY, ANY SELLING STOCKHOLDER OR ANY UNDERWRITER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93905_2"/>
      <w:bookmarkEnd w:id="4"/>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w:t>
      </w:r>
      <w:r>
        <w:rPr>
          <w:rFonts w:ascii="Times New Roman" w:hAnsi="Times New Roman"/>
          <w:i/>
          <w:sz w:val="20"/>
        </w:rPr>
        <w:t>www.sec.gov</w:t>
      </w:r>
      <w:r>
        <w:rPr>
          <w:rFonts w:ascii="Times New Roman" w:hAnsi="Times New Roman"/>
          <w:sz w:val="20"/>
        </w:rPr>
        <w:t xml:space="preserve">) from which interested persons can electronically access our reports, proxy statements and other information regarding 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incorporating by reference into this prospectus supplement certain information that we have filed with the SEC, which means that we are disclosing important information to you by referring you to documents we have filed separately with the SEC. The documents incorporated by reference are considered part of this prospectus supplement. This prospectus supplement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7, 2026 (our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February 25, 2026</w:t>
              </w:r>
            </w:hyperlink>
            <w:r>
              <w:rPr>
                <w:rFonts w:ascii="Times New Roman" w:hAnsi="Times New Roman"/>
                <w:sz w:val="20"/>
              </w:rPr>
              <w:t xml:space="preserve"> (except, with respect to the foregoing, for portions of such report which were deemed to be furnished and not filed), </w:t>
            </w:r>
            <w:hyperlink r:id="rId7">
              <w:r>
                <w:rPr>
                  <w:rStyle w:val="InternetLink"/>
                  <w:rFonts w:ascii="Times New Roman" w:hAnsi="Times New Roman"/>
                  <w:sz w:val="20"/>
                </w:rPr>
                <w:t>March 2, 2026</w:t>
              </w:r>
            </w:hyperlink>
            <w:r>
              <w:rPr>
                <w:rFonts w:ascii="Times New Roman" w:hAnsi="Times New Roman"/>
                <w:sz w:val="20"/>
              </w:rPr>
              <w:t xml:space="preserve"> and </w:t>
            </w:r>
            <w:hyperlink r:id="rId8">
              <w:r>
                <w:rPr>
                  <w:rStyle w:val="InternetLink"/>
                  <w:rFonts w:ascii="Times New Roman" w:hAnsi="Times New Roman"/>
                  <w:sz w:val="20"/>
                </w:rPr>
                <w:t>March 11,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(including the common stock) contained in </w:t>
            </w:r>
            <w:hyperlink r:id="rId9">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supplement and before the date all of the securities offered hereby are sold or the offering is otherwise terminated, with the exception of any information that has been or is deemed to have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supplement from the respective dates of filing of those documents. Any statement contained in a document or report incorporated or deemed to be incorporated by reference herein shall be deemed to be modified or superseded for purposes of this prospectus supplement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of the reports and documents referred to above that have been or will be incorporated by reference into this prospectus supplement.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accessible through, our website shall not be deemed to be incorporated into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93905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contained in this prospectus supplement or in our other documents that are incorporated by reference herein that are not purely historical are forward-looking statements within the meaning of Section 27A of the Securities Act of 1933, as amended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on our ability to recruit, acquire and retain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relationships with supported practices, which we do not own, to provide healthcare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adapt to healthcare reform legislation and other changes in the healthcare industry and in healthcare spending,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set forth under “Risk Factors” in our Annual Report and Quarterly Report, as amended, revised or supplemented by subsequent filings with the SEC that have been or will be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supplement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93905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information appearing elsewhere or incorporated by reference in this prospectus supplement and the accompanying prospectus and may not contain all the information you should consider before investing in our common stock. You should carefully read this entire prospectus supplement, including the sections entitled “Risk Factors,” “Management’s Discussion and Analysis of Financial Condition and Results of Operations,” our consolidated financial statements and the related notes thereto in our Annual Report and Quarterly Report and the documents incorporated by reference herein, before deciding whether to invest in our common stock</w:t>
      </w:r>
      <w:r>
        <w:rPr>
          <w:rFonts w:ascii="Times New Roman" w:hAnsi="Times New Roman"/>
          <w:sz w:val="20"/>
          <w:bdr w:val="single" w:sz="8" w:space="1" w:color="000000"/>
        </w:rPr>
        <w:t xml:space="preserv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vision is a truly healthy society where mental and physical healthcare are unified to make lives better. Our mission is to help people lead healthier, more fulfilling lives by improving access to trusted, affordable and personalized mental healthcare. To fulfill this mission, we have built one of the nation’s largest outpatient mental health platforms based on the number of clinicians we employ through our subsidiaries and our supported practices and our geographic scale. We are dedicated to improving the lives of our patients by reimagining mental health through a tech-enabled in-person and virtual care delivery model built to expand access, address affordability, improve outcomes and lower overall healthcare costs. We combine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employed 8,349 licensed mental health clinicians through our subsidiaries and supported practices in 33 states as of March 31, 2026. Our clinicians offer patients a comprehensive, multidisciplinary suite of mental health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Patients can receive care virtually through our online delivery platform or in-person at one of our conveniently located centers. Through our payor relationships, including national contracts with multiple payors, patients can utilize their in-network benefits when they receive care from one of our clinicians, enhancing access and affordability.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28, 2021, LifeStance Health Group, Inc. was incorporated in the state of Delaware. Our principal executive office is located at 4800 N. Scottsdale Road, Suite 2500, Scottsdale, Arizona 85251.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Nasdaq under the symbol “LFST.”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Share Repurchase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completion of this offering, we have agreed to purchase from the underwriter 6,000,000 shares of our common stock that are subject to this offering having an aggregate value of $48,120,000 at a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 share equal to the price at which the underwriter is purchasing the shares from the selling stockholders in this offering. The terms and conditions of the Share Repurchase were reviewed and approved by a committee consisting of disinterested members of our Board of Directors. We intend to fund the Share Repurchase with cash on hand. The Share Repurchase will be completed under our previously announced share repurchase program, which does not obligate us to acquire any particular amount of common stock, has no end date, and may be modified, suspended or discontinued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of the Share Repurchase, we intend to retire the shares we purchase from the underwriter, and those shares of common stock will no longer be outstanding.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underwriter will not receive any compensation for the shares of common stock being repurchased by us. See “Underwriting.”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offering is not conditioned upon the completion of the Share Repurchase. However, the completion of the Share Repurchase is contingent on the closing of this offering, and therefore the Share Repurchase will not be consummated unless and until the closing of this offering occurs.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description and the other information in this prospectus supplement regarding the Share Repurchase are included in this prospectus supplement solely for informational purposes. Nothing in this prospectus supplement should be construed as an offer to sell, or the solicitation of an offer to buy, any shares of the common stock subject to the Share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rom93905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35,000,000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and the Share Repurchase: </w:t>
            </w:r>
          </w:p>
        </w:tc>
        <w:tc>
          <w:tcPr>
            <w:tcW w:w="6328" w:type="dxa"/>
            <w:tcBorders/>
          </w:tcPr>
          <w:p>
            <w:pPr>
              <w:pStyle w:val="TableContents"/>
              <w:bidi w:val="0"/>
              <w:spacing w:before="0" w:after="283"/>
              <w:jc w:val="left"/>
              <w:rPr/>
            </w:pPr>
            <w:r>
              <w:rPr/>
              <w:t xml:space="preserve">381,834,432 shares of common stock (taking into consideration the repurchase by us of 6,000,000 shares of our common stock from the selling stockholders in connection with the Share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 Repurchase: </w:t>
            </w:r>
          </w:p>
        </w:tc>
        <w:tc>
          <w:tcPr>
            <w:tcW w:w="6328" w:type="dxa"/>
            <w:tcBorders/>
          </w:tcPr>
          <w:p>
            <w:pPr>
              <w:pStyle w:val="TableContents"/>
              <w:bidi w:val="0"/>
              <w:spacing w:before="0" w:after="283"/>
              <w:jc w:val="left"/>
              <w:rPr/>
            </w:pPr>
            <w:r>
              <w:rPr/>
              <w:t xml:space="preserve">Subject to completion of this offering, we have agreed to repurchase 6,000,000 shares of our common stock from the underwriter having an aggregate value of $48,120,000 at a price per share equal to the price paid by the underwriter to the selling stockholders in this offering. The Share Repurchase was reviewed and approved by a committee of disinterested members of our Board of Directors. We intend to fund the Share Repurchase with cash on hand. See “—Share Repurchase”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The selling stockholders will receive all of the proceeds from the sale of common stock in this offering. We will not receive any proceeds from the sale of shares of common stock by the selling stockholders.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consider the information set forth herein under “Risk Factors” and the other information included or incorporated by reference in this prospectus supplement, including the “Risk Factors” in our Annual Report, before deciding whether to purchase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trading symbol: </w:t>
            </w:r>
          </w:p>
        </w:tc>
        <w:tc>
          <w:tcPr>
            <w:tcW w:w="6330" w:type="dxa"/>
            <w:tcBorders/>
          </w:tcPr>
          <w:p>
            <w:pPr>
              <w:pStyle w:val="TableContents"/>
              <w:bidi w:val="0"/>
              <w:spacing w:before="0" w:after="283"/>
              <w:jc w:val="left"/>
              <w:rPr/>
            </w:pPr>
            <w:r>
              <w:rPr/>
              <w:t>“</w:t>
            </w:r>
            <w:r>
              <w:rPr/>
              <w:t xml:space="preserve">LFST”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as set forth above is based on 387,834,432 shares of common stock as of April 29, 2026, and except as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19,758,144 shares of our common stock issuable upon the vesting of our restricted stock units outstanding under the LifeStance Health Group, Inc. 2021 Equity Incentive Plan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13,475,901 shares of our common stock issuable upon the exercise of options outstanding under the 2021 Plan with a weighted average exercise price of $7.42;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81,333,583 shares of our common stock reserved for issuance under the 2021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25,816,936 shares of our common stock reserved for issuance under the LifeStance Health Group, Inc. 2021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93905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described under the section entitled “Risk Factors” in our Annual Report, which is incorporated by reference in this prospectus supplement, and any similar caption in the documents that we subsequently file with the SEC that are deemed to be incorporated by reference in this prospectus supplement, and in any free writing prospectus that we provide you in connection with this offering. The risks and uncertainties discussed in the documents referred to above, as well as other matters discussed in this prospectus supplement and in those documents, could materially and adversely affect our business, financial condition, liquidity, results of operations, prospects and the market price of the common stock. Moreover, the risks and uncertainties discussed in the foregoing documents are not the only risks and uncertainties that we face, and our business, financial condition, liquidity, results of operations, prospects and the market price of the common stock could be materially adversely affected by other matters that are not known to us or that we currently do not consider to be material risks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common stock in the public market or the issuance of securities senior to our common stock could adversely affect the trading price of our common stock and our ability to raise funds in new stock offerings. </w:t>
      </w:r>
    </w:p>
    <w:p>
      <w:pPr>
        <w:pStyle w:val="TextBody"/>
        <w:bidi w:val="0"/>
        <w:spacing w:before="240" w:after="0"/>
        <w:jc w:val="left"/>
        <w:rPr>
          <w:rFonts w:ascii="Times New Roman" w:hAnsi="Times New Roman"/>
          <w:sz w:val="20"/>
        </w:rPr>
      </w:pPr>
      <w:r>
        <w:rPr>
          <w:rFonts w:ascii="Times New Roman" w:hAnsi="Times New Roman"/>
          <w:sz w:val="20"/>
        </w:rPr>
        <w:t xml:space="preserve">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 In addition, the selling stockholders and certain other stockholders have certain registration rights that require us to register the sale of common stock held by them, including in connection with underwritten offerings. </w:t>
      </w:r>
    </w:p>
    <w:p>
      <w:pPr>
        <w:pStyle w:val="TextBody"/>
        <w:bidi w:val="0"/>
        <w:spacing w:before="240" w:after="0"/>
        <w:jc w:val="left"/>
        <w:rPr>
          <w:rFonts w:ascii="Times New Roman" w:hAnsi="Times New Roman"/>
          <w:sz w:val="20"/>
        </w:rPr>
      </w:pPr>
      <w:r>
        <w:rPr>
          <w:rFonts w:ascii="Times New Roman" w:hAnsi="Times New Roman"/>
          <w:sz w:val="20"/>
        </w:rPr>
        <w:t xml:space="preserve">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is volatile and may fluctuate significantly, which could negatively affect us and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volatile and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9390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our common stock sold in this offering will be sold by the selling stockholders. We will not receive any proceeds from the sale of shares of common stock by the selling stockholders. We have agreed to pay certain expenses related to this offering, other than underwriting discounts and commissions that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93905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show information as of April 29, 2026, regarding the beneficial ownership of our common stock by the selling stockholders and information with respect to the shares of common stock to be beneficially owned by the selling stockholders after the completion of this offering, including the Share Repurchase. The percentages of shares outstanding provided in the table are based on a total of 387,834,432 shares of common stock outstanding on April 29, 2026. The number of shares and percentages of beneficial ownership after this offering and the Share Repurchase set forth below are based on the number of shares of our common stock issued and outstanding immediately after the completion of this offering and the Share Repurchase assuming the selling stockholders sell 35,000,000 shares of common stock offered by this prospectus supplement, and assuming that the Share Repurchase of 6,000,000 shares is consummated shortly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which generally includes any shares over which a person exercises sole or shared voting and/or investment power. A person is also deemed to be a beneficial owner of a security if that person has the right to acquire beneficial ownership of such security within 60 days. Except as otherwise indicated by the footnotes, the entities named in the table below have sole voting and investment power with respect to all shares of common stock held by the respective entity.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8"/>
        <w:gridCol w:w="161"/>
        <w:gridCol w:w="60"/>
        <w:gridCol w:w="1278"/>
        <w:gridCol w:w="60"/>
        <w:gridCol w:w="161"/>
        <w:gridCol w:w="137"/>
        <w:gridCol w:w="1014"/>
        <w:gridCol w:w="275"/>
        <w:gridCol w:w="104"/>
        <w:gridCol w:w="60"/>
        <w:gridCol w:w="1115"/>
        <w:gridCol w:w="60"/>
        <w:gridCol w:w="161"/>
        <w:gridCol w:w="60"/>
        <w:gridCol w:w="1278"/>
        <w:gridCol w:w="60"/>
        <w:gridCol w:w="161"/>
        <w:gridCol w:w="137"/>
        <w:gridCol w:w="1014"/>
        <w:gridCol w:w="281"/>
      </w:tblGrid>
      <w:tr>
        <w:trPr/>
        <w:tc>
          <w:tcPr>
            <w:tcW w:w="256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6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Before this Offering</w:t>
            </w:r>
          </w:p>
        </w:tc>
        <w:tc>
          <w:tcPr>
            <w:tcW w:w="275" w:type="dxa"/>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w:t>
              <w:br/>
              <w:t>Offered</w:t>
            </w:r>
            <w:r>
              <w:rPr/>
              <w:br/>
            </w:r>
            <w:r>
              <w:rPr>
                <w:b/>
              </w:rPr>
              <w:t>Hereby</w:t>
            </w:r>
          </w:p>
        </w:tc>
        <w:tc>
          <w:tcPr>
            <w:tcW w:w="60" w:type="dxa"/>
            <w:vMerge w:val="restart"/>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this Offering and the</w:t>
              <w:br/>
              <w:t>Share Repurchase(1)</w:t>
            </w:r>
          </w:p>
        </w:tc>
        <w:tc>
          <w:tcPr>
            <w:tcW w:w="281" w:type="dxa"/>
            <w:tcBorders/>
            <w:vAlign w:val="bottom"/>
          </w:tcPr>
          <w:p>
            <w:pPr>
              <w:pStyle w:val="TableContents"/>
              <w:bidi w:val="0"/>
              <w:spacing w:before="0" w:after="283"/>
              <w:jc w:val="left"/>
              <w:rPr/>
            </w:pPr>
            <w:r>
              <w:rPr/>
              <w:t> </w:t>
            </w:r>
          </w:p>
        </w:tc>
      </w:tr>
      <w:tr>
        <w:trPr/>
        <w:tc>
          <w:tcPr>
            <w:tcW w:w="25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61"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04"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1" w:type="dxa"/>
            <w:tcBorders/>
            <w:vAlign w:val="bottom"/>
          </w:tcPr>
          <w:p>
            <w:pPr>
              <w:pStyle w:val="TableContents"/>
              <w:bidi w:val="0"/>
              <w:spacing w:before="0" w:after="283"/>
              <w:jc w:val="left"/>
              <w:rPr/>
            </w:pPr>
            <w:r>
              <w:rPr/>
              <w:t> </w:t>
            </w:r>
          </w:p>
        </w:tc>
      </w:tr>
      <w:tr>
        <w:trPr/>
        <w:tc>
          <w:tcPr>
            <w:tcW w:w="2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TPG VIII Lynnwood Holdings Aggregation, L.P.(2)</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140,026,557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36.1</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28,281,943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111,744,614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29.3</w:t>
            </w:r>
          </w:p>
        </w:tc>
        <w:tc>
          <w:tcPr>
            <w:tcW w:w="281" w:type="dxa"/>
            <w:tcBorders/>
            <w:shd w:fill="CCEEFF" w:val="clear"/>
            <w:vAlign w:val="bottom"/>
          </w:tcPr>
          <w:p>
            <w:pPr>
              <w:pStyle w:val="TableContents"/>
              <w:bidi w:val="0"/>
              <w:spacing w:before="0" w:after="283"/>
              <w:jc w:val="left"/>
              <w:rPr/>
            </w:pPr>
            <w:r>
              <w:rPr/>
              <w:t>% </w:t>
            </w:r>
          </w:p>
        </w:tc>
      </w:tr>
      <w:tr>
        <w:trPr/>
        <w:tc>
          <w:tcPr>
            <w:tcW w:w="2568" w:type="dxa"/>
            <w:tcBorders/>
          </w:tcPr>
          <w:p>
            <w:pPr>
              <w:pStyle w:val="TableContents"/>
              <w:bidi w:val="0"/>
              <w:spacing w:before="0" w:after="0"/>
              <w:jc w:val="left"/>
              <w:rPr>
                <w:rFonts w:ascii="Times New Roman" w:hAnsi="Times New Roman"/>
                <w:sz w:val="20"/>
              </w:rPr>
            </w:pPr>
            <w:r>
              <w:rPr>
                <w:rFonts w:ascii="Times New Roman" w:hAnsi="Times New Roman"/>
                <w:sz w:val="20"/>
              </w:rPr>
              <w:t>Summit Partners and its affiliates(3)</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29,209,776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7.5</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5,899,661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23,310,115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6.1</w:t>
            </w:r>
          </w:p>
        </w:tc>
        <w:tc>
          <w:tcPr>
            <w:tcW w:w="281" w:type="dxa"/>
            <w:tcBorders/>
            <w:vAlign w:val="bottom"/>
          </w:tcPr>
          <w:p>
            <w:pPr>
              <w:pStyle w:val="TableContents"/>
              <w:bidi w:val="0"/>
              <w:spacing w:before="0" w:after="283"/>
              <w:jc w:val="left"/>
              <w:rPr/>
            </w:pPr>
            <w:r>
              <w:rPr/>
              <w:t>% </w:t>
            </w:r>
          </w:p>
        </w:tc>
      </w:tr>
      <w:tr>
        <w:trPr/>
        <w:tc>
          <w:tcPr>
            <w:tcW w:w="2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Shama LLC(4)</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1,391,246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287,517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1,103,729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2568" w:type="dxa"/>
            <w:tcBorders/>
          </w:tcPr>
          <w:p>
            <w:pPr>
              <w:pStyle w:val="TableContents"/>
              <w:bidi w:val="0"/>
              <w:spacing w:before="0" w:after="0"/>
              <w:jc w:val="left"/>
              <w:rPr>
                <w:rFonts w:ascii="Times New Roman" w:hAnsi="Times New Roman"/>
                <w:sz w:val="20"/>
              </w:rPr>
            </w:pPr>
            <w:r>
              <w:rPr>
                <w:rFonts w:ascii="Times New Roman" w:hAnsi="Times New Roman"/>
                <w:sz w:val="20"/>
              </w:rPr>
              <w:t>Vitthal LLC(5)</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1,274,448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xml:space="preserve">287,517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986,931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2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Shuey Gift Trust(6)</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1,110,924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243,362</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867,562</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repurchase by us from the underwriter of 6,000,000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TPG VIII Lynnwood Holdings Aggregation, L.P., a Delaware limited partnership, directly holds 140,026,557 shares of common stock. The general partner of TPG VIII Lynnwood Holdings Aggregation, L.P. is TPG GenPar VIII, L.P., a Delaware limited partnership, whose general partner is TPG GenPar VIII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over whose shares of Class B common stock (which represent a majority of the combined voting power of the common stock) TPG GP A, LLC, a Delaware limited liability company, exercises direct or indirect control. TPG GP A, LLC is controlled by entities owned by James G. Coulter and Jon Winkelried. Messrs. Coulter and Winkelried disclaim beneficial ownership of the securities held by TPG VIII Lynnwood Holdings Aggregation, L.P., except to the extent of their pecuniary interest therein, if any. The address of each of TPG GP A, LLC and Messrs. Coulter and Winkelried is c/o TPG Inc., 301 Commerce Street, Suite 3300, Fort Worth, Texas 76102.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Summit Partners, L.P. has shared voting and dispositive power with respect to 29,209,776 shares, Summit Partners Growth Equity Fund IX-A, L.P. has shared voting and dispositive power with respect to 17,886,858 shares, Summit Partners Growth Equity Fund IX-B, L.P. has shared voting and dispositive power with respect to 11,168,308 shares, Summit Investors GE IX/VC IV (UK), L.P. has shared voting and dispositive power with respect to 13,062 shares, Summit Partners Entrepreneur Advisors Fund II, L.P. has shared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voting and dispositive power with respect to 16,691 shares, and Summit Investors GE IX/VC IV, LLC has shared voting and dispositive power with respect to 124,857 shares. In this offering: (a) Summit Partners Growth Equity Fund IX-A, L.P. will sell 3,612,708 shares; (b) Summit Partners Growth Equity Fund IX-B, L.P. will sell 2,255,726 shares; (c) Summit Investors GE IX/VC IV, LLC will sell 25,218 shares; (d) Summit Partners Entrepreneur Advisors Fund II, L.P. will sell 3,371 shares; and (e) Summit Investors GE IX/VC IV (UK), L.P. will sell 2,638 shares. The principal business address of the foregoing persons is 222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held by Shama LLC may be deemed to be beneficially owned by Robert Bessler, a director of the Company. The address for Shama LLC is c/o LifeStance Health Group, Inc., 4800 N. Scottsdale Road, Suite 2500, Scottsdale, Arizona 85251.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held by Vitthal LLC may be deemed to be beneficially owned by Robert Bessler, a director of the Company. The address for Vitthal LLC is c/o LifeStance Health Group, Inc., 4800 N. Scottsdale Road, Suite 2500, Scottsdale, Arizona 85251.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held by the Eric Shuey Gift Trust may be deemed to be beneficially owned by Eric Shuey, a director of the Company. The address for the Eric Shuey Gift Trust is c/o LifeStance Health Group, Inc., 4800 N. Scottsdale Road, Suite 2500, Scottsdale, Arizona 85251.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93905_9"/>
      <w:bookmarkEnd w:id="11"/>
      <w:r>
        <w:rPr>
          <w:rFonts w:ascii="Times New Roman" w:hAnsi="Times New Roman"/>
          <w:b/>
          <w:sz w:val="20"/>
        </w:rPr>
        <w:t xml:space="preserve">MATERIAL U.S. FEDERAL INCOME TAX CONSIDERATIONS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and estate tax consequences of the ownership and disposition of shares of our common stock as of the date hereof. Except where noted, this summary deals only with common stock that is held as a capital asset by a non-U.S. holder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shares of our common stock (other than an entity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U.S. Internal Revenue Code of 1986, as amended (the “Code”), and regulations, rulings and judicial decisions as of the date hereof. Those authorities may be changed, perhaps retroactively, so as to result in U.S. federal income and estate tax consequences different from those summarized below. This summary does not address all aspects of U.S. federal income and estate taxes and does not deal with non-U.S.,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shares of our common stock, the tax treatment of a partner will generally depend upon the status of the partner and the activities of the partnership. If you are a partner of a partnership holding our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consult your own tax advisors concerning the particular U.S. federal income and estate tax consequences to you of the ownership and disposition of our common stock, as well as the consequences to you arising under other U.S.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common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shares of our common stock, the excess will be treated as gain from the disposition of shares of our common stock (the tax treatment of which is discussed below under “—Gain on Disposition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subject to the discussion of FATCA (as defined herein) below under “—Additional Withholding Requirements.” However, dividends that are effectively connected with the conduct of a trade or business by the non-U.S. holder within the United States (and, if required by an applicable income tax treaty, are attributable to a U.S. permanent establishment or fixed base)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(as defined herein), any gain realized by a non-U.S. holder on the sale or other disposition of our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that disposition or the period that the non-U.S. holder held our common stock, and, in the case where our common stock is considered regularly traded on an established securities market for this purpose, the non-U.S. holder has owned, directly or constructively, more than 5% of our common stock at any time within such period. There can be no assurance that our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 situation in the first bullet point or the third bullet point immediately above, a non-U.S. holder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realized in the same year even though the individual is not considered a resident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93905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is acting as the underwriter in this offering. We and the selling stockholders have entered into an underwriting agreement with the underwriter. Subject to the terms and conditions of the underwriting agreement, the selling stockholders have agreed to sell to the underwriter, and the underwriter has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9"/>
        <w:gridCol w:w="554"/>
        <w:gridCol w:w="97"/>
        <w:gridCol w:w="1797"/>
        <w:gridCol w:w="62"/>
      </w:tblGrid>
      <w:tr>
        <w:trPr/>
        <w:tc>
          <w:tcPr>
            <w:tcW w:w="4429"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29" w:type="dxa"/>
            <w:tcBorders/>
            <w:vAlign w:val="bottom"/>
          </w:tcPr>
          <w:p>
            <w:pPr>
              <w:pStyle w:val="TableContents"/>
              <w:bidi w:val="0"/>
              <w:spacing w:before="0" w:after="283"/>
              <w:jc w:val="left"/>
              <w:rPr>
                <w:b/>
              </w:rPr>
            </w:pPr>
            <w:r>
              <w:rPr>
                <w:b/>
              </w:rPr>
              <w:t>Underwriter</w:t>
            </w:r>
          </w:p>
        </w:tc>
        <w:tc>
          <w:tcPr>
            <w:tcW w:w="554"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35,000,000</w:t>
            </w:r>
          </w:p>
        </w:tc>
        <w:tc>
          <w:tcPr>
            <w:tcW w:w="62" w:type="dxa"/>
            <w:tcBorders/>
            <w:shd w:fill="CCEEFF" w:val="clear"/>
            <w:vAlign w:val="bottom"/>
          </w:tcPr>
          <w:p>
            <w:pPr>
              <w:pStyle w:val="TableContents"/>
              <w:bidi w:val="0"/>
              <w:spacing w:before="0" w:after="283"/>
              <w:jc w:val="left"/>
              <w:rPr/>
            </w:pPr>
            <w:r>
              <w:rPr/>
              <w:t> </w:t>
            </w:r>
          </w:p>
        </w:tc>
      </w:tr>
      <w:tr>
        <w:trPr/>
        <w:tc>
          <w:tcPr>
            <w:tcW w:w="4429"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79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4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35,000,000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purchase all the shares of common stock offered by the selling stockholders if it purchases any shares. The underwriting agreement also provides that if the underwriter defaults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proposes to offer the shares of common stock directly to the public at the public offering price set forth on the cover page of this prospectus supplement. No underwriting discount will be paid on the shares of common stock sold to us pursuant to the Share Repurchase. After the initial offering of the shares to the public, if all of the shares of common stock are not sold at the public offering price, the underwriter may change the offering price and the other selling terms. Sales of any shares made outside of the United States may be made by affiliates of the underwriter. The offering of the shares by the underwriter is subject to receipt and acceptance and subject to the underwriter’s right to reject any order in whole or in part.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779"/>
        <w:gridCol w:w="221"/>
        <w:gridCol w:w="165"/>
        <w:gridCol w:w="1484"/>
        <w:gridCol w:w="60"/>
        <w:gridCol w:w="221"/>
        <w:gridCol w:w="183"/>
        <w:gridCol w:w="1327"/>
        <w:gridCol w:w="60"/>
        <w:gridCol w:w="221"/>
        <w:gridCol w:w="213"/>
        <w:gridCol w:w="1939"/>
        <w:gridCol w:w="66"/>
      </w:tblGrid>
      <w:tr>
        <w:trPr/>
        <w:tc>
          <w:tcPr>
            <w:tcW w:w="77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77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Price</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 and</w:t>
              <w:br/>
              <w:t>Commissions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w:t>
              <w:br/>
              <w:t>Selling Stockholders</w:t>
              <w:br/>
              <w:t>(Before Expenses)</w:t>
            </w:r>
          </w:p>
        </w:tc>
        <w:tc>
          <w:tcPr>
            <w:tcW w:w="66" w:type="dxa"/>
            <w:tcBorders/>
            <w:vAlign w:val="bottom"/>
          </w:tcPr>
          <w:p>
            <w:pPr>
              <w:pStyle w:val="TableContents"/>
              <w:bidi w:val="0"/>
              <w:spacing w:before="0" w:after="283"/>
              <w:jc w:val="left"/>
              <w:rPr/>
            </w:pPr>
            <w:r>
              <w:rPr/>
              <w:t> </w:t>
            </w:r>
          </w:p>
        </w:tc>
      </w:tr>
      <w:tr>
        <w:trPr/>
        <w:tc>
          <w:tcPr>
            <w:tcW w:w="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2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8.15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0.13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939" w:type="dxa"/>
            <w:tcBorders/>
            <w:shd w:fill="CCEEFF" w:val="clear"/>
            <w:vAlign w:val="bottom"/>
          </w:tcPr>
          <w:p>
            <w:pPr>
              <w:pStyle w:val="TableContents"/>
              <w:bidi w:val="0"/>
              <w:spacing w:before="0" w:after="283"/>
              <w:jc w:val="right"/>
              <w:rPr/>
            </w:pPr>
            <w:r>
              <w:rPr/>
              <w:t>8.02</w:t>
            </w:r>
          </w:p>
        </w:tc>
        <w:tc>
          <w:tcPr>
            <w:tcW w:w="66" w:type="dxa"/>
            <w:tcBorders/>
            <w:shd w:fill="CCEEFF" w:val="clear"/>
            <w:vAlign w:val="bottom"/>
          </w:tcPr>
          <w:p>
            <w:pPr>
              <w:pStyle w:val="TableContents"/>
              <w:bidi w:val="0"/>
              <w:spacing w:before="0" w:after="283"/>
              <w:jc w:val="left"/>
              <w:rPr/>
            </w:pPr>
            <w:r>
              <w:rPr/>
              <w:t> </w:t>
            </w:r>
          </w:p>
        </w:tc>
      </w:tr>
      <w:tr>
        <w:trPr/>
        <w:tc>
          <w:tcPr>
            <w:tcW w:w="7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285,250,000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7" w:type="dxa"/>
            <w:tcBorders/>
            <w:vAlign w:val="bottom"/>
          </w:tcPr>
          <w:p>
            <w:pPr>
              <w:pStyle w:val="TableContents"/>
              <w:bidi w:val="0"/>
              <w:spacing w:before="0" w:after="283"/>
              <w:jc w:val="right"/>
              <w:rPr/>
            </w:pPr>
            <w:r>
              <w:rPr/>
              <w:t>3,770,000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939" w:type="dxa"/>
            <w:tcBorders/>
            <w:vAlign w:val="bottom"/>
          </w:tcPr>
          <w:p>
            <w:pPr>
              <w:pStyle w:val="TableContents"/>
              <w:bidi w:val="0"/>
              <w:spacing w:before="0" w:after="283"/>
              <w:jc w:val="right"/>
              <w:rPr/>
            </w:pPr>
            <w:r>
              <w:rPr/>
              <w:t>280,700,000</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We have agreed to reimburse the underwriter for expenses relating to the clearance of this offering with the FINRA up to $15,000.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 maintained by the underwriter. The underwriter may agree to allocate a number of shares to underwriters and selling group members for sale to their online brokerage account holders. Internet distributions will be allocated by the underwriter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all of our directors and officers and the selling stockholders have agreed that, without the prior written consent of the underwriter, we and they will not, and will not publicly disclose an intention to, during the period ending 75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any common stock (such securities, together with the common stock, the “Restricted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any Restricted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Restricted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underwriter, we or such other person will not, during the Restricted Period, make any demand for, or exercise any right with respect to, the registration of any Restricted Securities; provided that, to the extent such person has demand and/or piggyback registration rights, the foregoing shall not prohibit such person from notifying us privately that it is or will be exercising its demand and/or piggyback registration rights following the expiration of the Restricted Period and undertaking any preparations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(the “Lock-Up Restrictions”)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Restricted Securities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as a bona fide gift or to a charitable organization or non-profit educational institution in a transaction not involving a disposition of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(i) as a result of the operation of law through estate, other testamentary document or intestate succession, (ii) to any immediate family member of the lock-up party or any trust for the direct or indirect benefit of the lock-up party or any immediate family member of the lock-up party, (iii) pursuant to a court order, qualified domestic order or in connection with a divorce settlement; provided that such Restricted Securities remain subject to the Lock-Up Restrictions, and, in the case of transfers under the foregoing clause (iii) only, if the lock-up party is required to file a report under Section 16(a) of the Exchange Act reporting a reduction in beneficial ownership of shares of common stock during the Restricted Period, the lock-up party shall include a statement in such report to the effect that such transfer occurred by operation of law or pursuant to a court order, qualified domestic order or in connection with a divorce settlement, as applicable; provided further, that no other public announcement or filing related to such transfer shall be required or shall be voluntarily made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Restricted Securities to limited partners, members, nominees, stockholders or holders of similar equity interests in the lock-up party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Restricted Securities to a corporation, partnership, limited liability company, investment fund or other entity that directly, or indirectly through one or more intermediaries, controls or is controlled by, or is under common control with, the lock-up party, or is wholly owned by the lock-up party and/or by members of the immediate family of the lock-up party, or, in the case of an investment fund, that is managed by, or is under common management with, the lock-up party; provided that if the lock-up party is required to file a report under Section 16(a) of the Exchange Act during the Restricted Period, the lock-up party shall include a statement in any such report regarding the circumstances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connection with the exercise or settlement of stock options, restricted stock units or other equity awards pursuant to any plan or agreement granting such an award to our or our affiliates’ employees or other service providers as described in the registration statement on Form S-3 or any prospectus or preliminary prospectus related to this offering (including in filings with the SEC that are incorporated by reference herein); provided that any remaining shares of common stock received upon such exercise or settlement will be subject to the Lock-Up Restrictions; and provided further that if the lock-up party is required to file a report under Section 16(a) of the Exchange Act during the Restricted Period, the lock-up party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dispositions to us upon our exercise of our right to repurchase or reacquire the lock-up party’s Restricted Securities in the event the lock-up party ceases to provide services to us pursuant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agreements in effect on the date of and as described in the registration statement on Form S-3 or the prospectus related to this offering (including in filings with the SEC that are incorporated by reference herein), that permit us to repurchase or reacquire, at cost, such securities upon termination of the lock up party’s services to us or our affiliates; provided that any filing under Section 16(a) of the Exchange Act relating to such disposition shall clearly indicate in the footnotes thereto that the Restricted Securities were repurchased or reacquired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pursuant to a bona fide third party tender offer, merger, consolidation or other similar transaction made to all holders of common stock involving a “change of control” (as defined below) of us that occurs after the consummation of this offering, is open to all holders of our capital stock and has been approved by our board of directors; provided, that if such change of control is not consummated, such shares shall remain subject to the Lock-Up Restrictions (for the purposes of this exception, a “change of control” is defined as any bona fide third party tender offer, merger, consolidation or other similar transaction the result of which is that any “person” (as defined in Section 13(d)(3) of the Exchange Act), or group of persons, other than us, becomes or would become the beneficial owner (as defined in Rules 13d-3 and 13d-5 of the Exchange Act) of 50% or more of the total voting power of the voting stock of 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permitted by our bylaws, corporate policies and applicable laws, the establishment of a trading plan on behalf of any of our stockholders, officers or directors pursuant to Rule 10b5-1 under the Exchange Act for the transfer of shares of common stock (a “10b5-1 Plan”), provided that (i) such plan does not provide for the transfer of shares of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shares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10b5-1 Plan in effect as of the date hereof (an “Existing Plan”), provided that (i) such Existing Plan will note be amended or otherwise modified to increase the shares of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to any third-party pledgee in a </w:t>
            </w:r>
            <w:r>
              <w:rPr>
                <w:rFonts w:ascii="Times New Roman" w:hAnsi="Times New Roman"/>
                <w:i/>
                <w:sz w:val="20"/>
              </w:rPr>
              <w:t>bona fide</w:t>
            </w:r>
            <w:r>
              <w:rPr>
                <w:rFonts w:ascii="Times New Roman" w:hAnsi="Times New Roman"/>
                <w:sz w:val="20"/>
              </w:rPr>
              <w:t xml:space="preserv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 or its affiliates, </w:t>
            </w:r>
            <w:r>
              <w:rPr>
                <w:rFonts w:ascii="Times New Roman" w:hAnsi="Times New Roman"/>
                <w:i/>
                <w:sz w:val="20"/>
              </w:rPr>
              <w:t xml:space="preserve">provided </w:t>
            </w:r>
            <w:r>
              <w:rPr>
                <w:rFonts w:ascii="Times New Roman" w:hAnsi="Times New Roman"/>
                <w:sz w:val="20"/>
              </w:rPr>
              <w:t xml:space="preserve">that the terms of such pledge shall provide that the underlying Restricted Securities may not be transferred to the pledgee until the expiration of the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shares of common stock by the selling stockholders to the underwriter in connection with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gift, transfer, distribution or pledge pursuant to clause (b), (c), (d), (e) or (k), each donee, transferee, distributee or pledgee, as applicable, shall sign and deliver a lock-up agreement substantially in the form thereof attached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also do not apply to us with respect to certain transactions, including (A) the issuance by us of common stock upon the exercise of an option or warrant or the conversion of a security outstanding on the date of this prospectus supplement, (B) facilitating the establishment of a trading plan on behalf of a shareholder, officer or director of our Company pursuant to Rule 10b5-1 under the Exchange Act for the transfer of shares of common stock, provided that (i) such plan does not provide for the transfer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(C) the grant by us of awards under equity incentive plans (including employee stock purchase plans) or other similar arrangements (D) the filing of a registration statement on Form S-8 (or the equivalent form) with the SEC in connection with an employee stock compensation plan or agreement of our Company and (E) the issuance of shares of common stock or other securities (including securities convertible into shares of common stock) in connection with the acquisition by us or any of our subsidiaries of the securities, businesses, joint ventures, products or technologies, properties or other assets of another person or entity or pursuant to any equity incentive plan or arrangement, or any employee benefit plan, assumed by us in connection with any such transaction (or any equity incentive plan or arrangement, or any employee benefit plan, to the extent used to issue awards, substitute awards or securities related to any such transaction); provided that the aggregate amount of Restricted Securities (on an as converted, as exercised or as exchanged basis) that we may sell or issue or agree to sell or issue pursuant to clause (D) shall not exceed 10% of the total number of shares of our common stock issued and outstanding immediately following the completion of the transactions contemplated by the underwriting agreement determined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expect to deliver the shares against payment for the shares on or about the date specified in the last paragraph of the cover page of this prospectus supplement, which will be the second business day following the date of this prospectus supplement. Under Rule 15c6-1 of the Securities Exchange Act, trades in the secondary market generally are required to settle in one business day, unless the parties to a trade expressly agree otherwise. Accordingly, purchasers who wish to trade the shares prior to the business day preceding the settlement date will be required, by virtue of the fact that the shares initially will settle in T+2, to specify alternative settlement arrangements to prevent a failed settlement. Purchasers of shares who wish to trade the shares prior to the business day preceding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 of a greater number of shares than it is required to purchase in the offering, and a short position represents the amount of such sales that have not been covered by subsequent purchases. Given the underwriter does not have an option to purchase additional shares from us or from the selling stockholders, all such short sales are “naked” short sales. As a result, the underwriter must cover any short positions by purchasing shares in the open market. A short position is more likely to be created if the underwriter is concerned that there may be downward pressure on the price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it may also engage in other activities that stabilize, maintain or otherwise affect the price of the common stock, including the imposition of penalty bids. This means that if the underwriter purchases common stock in the open market in stabilizing transactions or to cover short sales, the underwriter that sold those shares as part of this offering may be required to repay the underwriting discount received by them. These activities may have the effect of raising or maintaining the market price of the common stock or preventing or retarding a decline in the market price of the common stock, and as a result, the price of the common stock may be higher than the price that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us and to persons and entities with relationships with us, for which they received or will receive customary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our shares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the shares of common stock shall require us or the underwriter to publish a prospectus pursuant to Article 3 of the Prospectus Regulation or supplement a prospectus pursuant to Article 23 of the Prospectus Regulation and each person in a Relevant State who initially acquires our shares of common stock or to whom any offer is made will be deemed to have represented, acknowledged and agreed to and with the underwriter and the Company that it is a “qualified investor” within the meaning of Article 2(e) of the Prospectus Regulation. In the case of the shares of common stock being offered to a financial intermediary as that term is used in the Prospectus Regulation, each such financial intermediary will be deemed to have represented, acknowledged and agreed that the shares of common stock acquired by it in the offer have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been acquired on a non-discretionary basis on behalf of, nor have they been acquired with a view to their offer or resale to, persons in circumstances which may give rise to an offer of the shares of common stock to the public other than their offer or resale in a Relevant State to qualified investors as so defined or in circumstances in which the prior consent of the underwriter has been obtained to each such proposed offer or resale.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the shares of common stock to be offered so as to enable an investor to decide to purchase or subscribe for the shares of common stock,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In connection with the offering, the underwriter is not acting for anyone other than the selling stockholders and will not be responsible to anyone other than the selling stockholders for providing the protections afforded to its clients nor for providing advice in relation to the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None of the securities offered hereby have been offered or will be offered pursuant to this offering to the public in the United Kingdom except that the securities may be offered to the public in the United Kingdom at any time: </w:t>
      </w:r>
    </w:p>
    <w:p>
      <w:pPr>
        <w:pStyle w:val="TextBody"/>
        <w:bidi w:val="0"/>
        <w:spacing w:before="240" w:after="0"/>
        <w:jc w:val="left"/>
        <w:rPr>
          <w:rFonts w:ascii="Times New Roman" w:hAnsi="Times New Roman"/>
          <w:sz w:val="20"/>
        </w:rPr>
      </w:pPr>
      <w:r>
        <w:rPr>
          <w:rFonts w:ascii="Times New Roman" w:hAnsi="Times New Roman"/>
          <w:sz w:val="20"/>
        </w:rPr>
        <w:t xml:space="preserve">(a) 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(b) to any qualified investor as defined in paragraph 15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(c) to fewer than 150 persons (other than qualified investors as defined in paragraph 15 of Schedule 1 of the POATR), subject to obtaining the prior consent of the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offered hereby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prospectus supplement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who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product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or Exempt Investors, available under section 708 of the Corporations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our common stock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of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Israeli Securities Law, and has not been filed with or approved by the Israel Securities Authority. In Israel, this prospectus supplement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93905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Boston, MA, will pass upon the validity of the common stock offered by this prospectus supplement. Kirkland &amp; Ellis LLP, New York, NY, will act as counsel to the underwriter. </w:t>
      </w:r>
    </w:p>
    <w:p>
      <w:pPr>
        <w:pStyle w:val="TextBody"/>
        <w:bidi w:val="0"/>
        <w:spacing w:before="480" w:after="0"/>
        <w:jc w:val="center"/>
        <w:rPr>
          <w:rFonts w:ascii="Times New Roman" w:hAnsi="Times New Roman"/>
          <w:b/>
          <w:sz w:val="20"/>
        </w:rPr>
      </w:pPr>
      <w:bookmarkStart w:id="14" w:name="supprom93905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5080" cy="5880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545080" cy="5880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solely covers the resale by selling stockholders of shares of common stock, par value $0.01 per share (the “common stock”), of LifeStance Health Group, Inc. The selling stockholders, who will be named in a prospectus supplement, may offer and sell shares of common stock at any time and from time to time, in one or more offerings, together or separately, in amounts, at prices and on terms that will be determined at the time of any such offering.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describes the general manner in which these securities may be offered and sold. Each time any of the selling stockholders offer and sell shares of our common stock, such selling stockholders will provide the specific terms of any offering of these securities in a prospectus supplement or free writing prospectus. The applicable prospectus supplement may also add, update or change information contained in this prospectus with respect to that offering. You should carefully read this prospectus and any applicable prospectus supplement and free writing prospectus we or the selling stockholders may provide to you, as well as the documents incorporated and deemed to be incorporated by reference in this prospectus, before you invest.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not be used to offer and sell shares of our common stock unless accompanied by a prospectus supplement or a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stockholders may sell any of these securities on a continuous or delayed basis directly, through agents, dealers or underwriters as designated from time to time, or through a combination of these methods. The selling stockholders reserve the sole right to accept, and any selling stockholder and any agents, dealers, underwriters reserve the right to reject, in whole or in part, any proposed purchase of these securities. The applicable prospectus supplement or free writing prospectus will set forth the names of the agents, dealers or underwriters, any applicable commissions or discounts payable to them and the specific terms of the plan of distribution. The names of the selling stockholders will be set forth in the applicable prospectus supplement or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receive any proceeds from the sale of the shares of common stock by any selling stockholders. See the sections of this prospectus entitled “About this Prospectus” and “Plan of Distribution” for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“LFST.” On May 20, 2024, the last sale price of our common stock as reported on Nasdaq was $7.51 per share. </w:t>
      </w:r>
    </w:p>
    <w:p>
      <w:pPr>
        <w:pStyle w:val="TextBody"/>
        <w:bidi w:val="0"/>
        <w:spacing w:before="120" w:after="0"/>
        <w:jc w:val="left"/>
        <w:rPr>
          <w:rFonts w:ascii="Times New Roman" w:hAnsi="Times New Roman"/>
          <w:sz w:val="20"/>
        </w:rPr>
      </w:pPr>
      <w:r>
        <w:rPr>
          <w:rFonts w:ascii="Times New Roman" w:hAnsi="Times New Roman"/>
          <w:sz w:val="20"/>
        </w:rPr>
        <w:t xml:space="preserve">Before you invest, you should carefully read this prospectus, any applicable prospectus supplement and information described under the headings “Where You Can Find More Information; Incorporation of Certain Documents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our common stock involves risks. See “</w:t>
      </w:r>
      <w:hyperlink w:anchor="rom93905_5">
        <w:r>
          <w:rPr>
            <w:rStyle w:val="InternetLink"/>
            <w:rFonts w:ascii="Times New Roman" w:hAnsi="Times New Roman"/>
            <w:b/>
            <w:sz w:val="24"/>
          </w:rPr>
          <w:t>Risk Factors</w:t>
        </w:r>
      </w:hyperlink>
      <w:r>
        <w:rPr>
          <w:rFonts w:ascii="Times New Roman" w:hAnsi="Times New Roman"/>
          <w:b/>
          <w:sz w:val="24"/>
        </w:rPr>
        <w:t xml:space="preserve">” beginning on page 2, in any accompanying prospectus supplement and in the documents we have incorporated by reference herein and therein.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May 21,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rom9390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2">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93905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93905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 as a “well-known seasoned issuer” as defined in Rule 405 under the Securities Act of 1933, as amended (the “Securities Act”). Under this automatic shelf registration statement, the selling stockholders, who will be named in a prospectus supplement, may offer, at any time and from time to time, in one or more offerings, together or separately, shares of common stock described in this prospectus and the applicable prospectus supplement in amounts, at prices and on other terms to be determined at the time of the applicable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solely to the common stock that the selling stockholders may offer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complete and does not contain all of the information that you should consider before making an investment in our common stock described in this prospectus. This prospectus provides you with a general description of our common stock the selling stockholders may offer. To the extent required by applicable law, each time the selling stockholders sell shares of common stock, the selling stockholders will provide you with this prospectus and, to the extent required, a prospectus supplement that will contain more information about the specific terms of the offering. A supplement to this prospectus or a free writing prospectus may also add to, update or change the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the accompanying prospectus supplement and any permitted free writing prospectus. Neither we, any selling stockholder nor any underwriter that may be named in a future prospectus supplement has authorized any other person to provide you with any different or additional information that is not contained or incorporated by reference in this prospectus, any accompanying prospectus supplement or in any free writing prospectus that we may provide to you in connection with an offering. Neither we nor any selling stockholders take responsibility for, or can provide any assurance as to the reliability of, any information that others may give you. You should carefully read this prospectus, any applicable prospectus supplement, if any, and any related free writing prospectus, together with the additional information that is incorporated or deemed incorporated by reference in this prospectus as described under “Where You Can Find More Information; Incorporation of Certain Documents by Reference” before making an investment decision.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does not constitute, and any accompanying prospectus supplement or free writing prospectus that we may provide to you in connection with an offering of the securities described herein will not constitute, an offer to sell or the solicitation of an offer to buy any securities other than the registered securities to which they relate, or an offer to sell or the solicitation of an offer to buy securities in any jurisdiction to any person to whom it is unlawful to make such offer or solicitation in such jurisdiction.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sale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93905_2"/>
      <w:bookmarkEnd w:id="17"/>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(www.sec.gov) from which interested persons can electronically access our reports, proxy statements and other information regarding 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or are deemed to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1">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28, 2024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2">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(our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13">
              <w:r>
                <w:rPr>
                  <w:rStyle w:val="InternetLink"/>
                  <w:rFonts w:ascii="Times New Roman" w:hAnsi="Times New Roman"/>
                  <w:sz w:val="20"/>
                </w:rPr>
                <w:t>Definitive Proxy Statement on Schedule 14A</w:t>
              </w:r>
            </w:hyperlink>
            <w:r>
              <w:rPr>
                <w:rFonts w:ascii="Times New Roman" w:hAnsi="Times New Roman"/>
                <w:sz w:val="20"/>
              </w:rPr>
              <w:t xml:space="preserve"> that are incorporated by reference into our Annual Report, filed with the SEC on April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4">
              <w:r>
                <w:rPr>
                  <w:rStyle w:val="InternetLink"/>
                  <w:rFonts w:ascii="Times New Roman" w:hAnsi="Times New Roman"/>
                  <w:sz w:val="20"/>
                </w:rPr>
                <w:t>February 2, 2024</w:t>
              </w:r>
            </w:hyperlink>
            <w:r>
              <w:rPr>
                <w:rFonts w:ascii="Times New Roman" w:hAnsi="Times New Roman"/>
                <w:sz w:val="20"/>
              </w:rPr>
              <w:t xml:space="preserve"> (only Item 8.01), </w:t>
            </w:r>
            <w:hyperlink r:id="rId15">
              <w:r>
                <w:rPr>
                  <w:rStyle w:val="InternetLink"/>
                  <w:rFonts w:ascii="Times New Roman" w:hAnsi="Times New Roman"/>
                  <w:sz w:val="20"/>
                </w:rPr>
                <w:t>March  12, 2024</w:t>
              </w:r>
            </w:hyperlink>
            <w:r>
              <w:rPr>
                <w:rFonts w:ascii="Times New Roman" w:hAnsi="Times New Roman"/>
                <w:sz w:val="20"/>
              </w:rPr>
              <w:t xml:space="preserve"> and </w:t>
            </w:r>
            <w:hyperlink r:id="rId16">
              <w:r>
                <w:rPr>
                  <w:rStyle w:val="InternetLink"/>
                  <w:rFonts w:ascii="Times New Roman" w:hAnsi="Times New Roman"/>
                  <w:sz w:val="20"/>
                </w:rPr>
                <w:t>May 9, 2024</w:t>
              </w:r>
            </w:hyperlink>
            <w:r>
              <w:rPr>
                <w:rFonts w:ascii="Times New Roman" w:hAnsi="Times New Roman"/>
                <w:sz w:val="20"/>
              </w:rPr>
              <w:t xml:space="preserve"> (only Item 5.02);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(including our common stock) contained in </w:t>
            </w:r>
            <w:hyperlink r:id="rId17">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and before the date all of the securities offered by the relevant prospectus supplement are sold or the offering is otherwise terminated, with the exception of any information that has been or is deemed to have been “furnished” but not “filed” under the Exchange Act, including information furnished under Item 2.02 or Item 7.01 (including any financial statements or exhibits relating thereto furnished pursuant to Item 9.01) of Form 8-K, which will not be incorporated by reference herein. Any such filings, or any portion of such filings as specified above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with the SEC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www.sec.gov. We will provide, without charge, to each person, including any beneficial owner, to whom a copy of this prospectus is delivered, upon written or oral request of such person, a copy of any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LifeStance Health Group, Inc. </w:t>
      </w:r>
    </w:p>
    <w:p>
      <w:pPr>
        <w:pStyle w:val="TextBody"/>
        <w:bidi w:val="0"/>
        <w:spacing w:before="0" w:after="0"/>
        <w:jc w:val="center"/>
        <w:rPr>
          <w:rFonts w:ascii="Times New Roman" w:hAnsi="Times New Roman"/>
          <w:sz w:val="20"/>
        </w:rPr>
      </w:pPr>
      <w:r>
        <w:rPr>
          <w:rFonts w:ascii="Times New Roman" w:hAnsi="Times New Roman"/>
          <w:sz w:val="20"/>
        </w:rPr>
        <w:t xml:space="preserve">4800 N. Scottsdale Road, Suite 2500 </w:t>
      </w:r>
    </w:p>
    <w:p>
      <w:pPr>
        <w:pStyle w:val="TextBody"/>
        <w:bidi w:val="0"/>
        <w:spacing w:before="0" w:after="0"/>
        <w:jc w:val="center"/>
        <w:rPr>
          <w:rFonts w:ascii="Times New Roman" w:hAnsi="Times New Roman"/>
          <w:sz w:val="20"/>
        </w:rPr>
      </w:pPr>
      <w:r>
        <w:rPr>
          <w:rFonts w:ascii="Times New Roman" w:hAnsi="Times New Roman"/>
          <w:sz w:val="20"/>
        </w:rPr>
        <w:t xml:space="preserve">Scottsdale, Arizona 85251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investor.relations@lifestance.com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an internet site at www.lifestance.com. Our SEC filings are also available free of charge at our website. Our website and the information contained on or connected to it shall not be deemed to be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93905_3"/>
      <w:bookmarkEnd w:id="1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contained in this prospectus or in our other documents that are incorporated by reference herein that are not purely historical are forward-looking statements within the meaning of Section 27A of the Securities Act and Section 21E of the Exchange Act, including statements regarding our expectations, hopes, intentions or strategies regarding the future. Forward-looking statements are neither historical facts nor assurances of future performance. Instead, they are based on our current beliefs, expectations and assumptions regarding the future of our business, the economy,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de novo centers and acquire new centers; our growth rates and financial results; our plans and objectives for future operations, growth or initiatives and strategies; and our expected market opportunity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reimbursement rates paid by third-party payors are reduced or if third-party payors otherwise restrain our ability to obtain or deliver care to patients, our business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grow at the rates we historically have achieved or at all, even if our key metrics may imply future growth, including if we are unable to successfully execute on our growth initiatives and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our expenses could increase more than expected, our revenue may not increase proportionally or at all, and we may be unable to execute on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new clinicians and retain existing clinicians;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relationships with supported practices, which we do not own, to provide health care services, and our business would be harmed if those relationships were disrupted or if our arrangements with these entities became subject to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competitive industry, and if we are not able to compete effectively, our business and financial performance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care reform legislation and other changes in the healthcare industry and in health care spending on us is currently unknown, but may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our ability to effectively invest in, implement improvements to and properly maintain the uninterrupted operation and data integrity of our information technology and other business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indebtedness could adversely affect our business and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set forth under “Risk Factors” in our Annual Report, as amended, revised or supplemented by subsequent filings with the SEC that have been or will be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placing undue reliance on any forward-looking statements, which should also be read in conjunction with the other cautionary statements that are incorporated by reference herein.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93905_4"/>
      <w:bookmarkEnd w:id="19"/>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reimagining mental health through a tech-enabled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6,866 licensed mental health clinicians as of March 31, 2024.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 </w:t>
      </w:r>
    </w:p>
    <w:p>
      <w:pPr>
        <w:pStyle w:val="TextBody"/>
        <w:bidi w:val="0"/>
        <w:spacing w:before="240" w:after="0"/>
        <w:jc w:val="left"/>
        <w:rPr>
          <w:rFonts w:ascii="Times New Roman" w:hAnsi="Times New Roman"/>
          <w:sz w:val="20"/>
        </w:rPr>
      </w:pPr>
      <w:r>
        <w:rPr>
          <w:rFonts w:ascii="Times New Roman" w:hAnsi="Times New Roman"/>
          <w:sz w:val="20"/>
        </w:rPr>
        <w:t xml:space="preserve">Our model is built to empower each of the healthcare ecosystem’s key stakeholders—patients, clinicians, payors and primary care and specialist physicians—by aligning around our shared goal of delivering better outcomes for patients and providing high-quality mental healthcare. </w:t>
      </w:r>
    </w:p>
    <w:p>
      <w:pPr>
        <w:pStyle w:val="TextBody"/>
        <w:bidi w:val="0"/>
        <w:spacing w:before="240" w:after="0"/>
        <w:jc w:val="left"/>
        <w:rPr>
          <w:rFonts w:ascii="Times New Roman" w:hAnsi="Times New Roman"/>
          <w:sz w:val="20"/>
        </w:rPr>
      </w:pPr>
      <w:r>
        <w:rPr>
          <w:rFonts w:ascii="Times New Roman" w:hAnsi="Times New Roman"/>
          <w:sz w:val="20"/>
        </w:rPr>
        <w:t xml:space="preserve">LifeStance Health Group, Inc. is a Delaware corporation. Our shares of common stock are listed on Nasdaq under the symbol “LFST.” Our principal executive offices are located at 4800 N. Scottsdale Road, Suite 2500, Scottsdale, Arizona 85251, and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93905_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review the risk factors and other cautionary statements, including those described under the section entitled “Risk Factors” in our most recent Annual Report, our Quarterly Reports on Form 10-Q and other documents we file with the SEC, which have been or will be incorporated by reference in this prospectus, and the risk factors and other information contained in the applicable prospectus supplement or free writing prospectus. The risks and uncertainties in the documents referred to above, as well as other matters discussed in those documents, could materially and adversely affect our business, financial condition, liquidity, results of operations, prospects and the market price of our common stock. Moreover, the risks and uncertainties discussed in the foregoing documents are not the only risks and uncertainties that we face, and our business, financial condition, liquidity, results of operations, prospects and the market price of our common stock could be materially adversely affected by other matters that are not known to us or that we currently do not consider to be material risks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93905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common stock by any selling stockholders. All of the shares of our common stock offered by the selling stockholders pursuant to this prospectus will be sold by the selling stockholders. We have agreed to pay certain expenses in connection with the registration of common stock being offered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93905_7"/>
      <w:bookmarkEnd w:id="22"/>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identities of any selling stockholders, any material relationships the selling stockholders have had within the past three years with the Company, the beneficial ownership of our common stock by the selling stockholders, the number of shares to be offered by the selling stockholders and the percentage to be owned by the selling stockholders after completion of the applicable offering will be set forth in a prospectus supplement,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93905_8"/>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summarizes important terms of our capital stock. This summary does not purport to be complete and is qualified in its entirety by (i) the provisions of our amended and restated certificate of incorporation and our second amended and restated bylaws (our “bylaws”), each of which have been filed as exhibits to the registration statement of which this prospectus is a part, and (ii) certain provisions of Delaware law. For more information on how you can obtain our amended and restated certificate of incorporation and bylaws, see “Where You Can Find More Information;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800,000,000 shares of common stock, par value $0.01 per share, and 25,000,000 shares of preferred stock, $0.01 per share. As of May 1, 2024, 382,287,766 shares of common stock and no shares of preferred stock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preferences that may apply to shares of preferred stock outstanding at the time, holders of outstanding shares of common stock are entitled to receive dividends out of assets legally available at the times and in the amounts as the Board of Directors may determine from time to time.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outstanding share of common stock is entitled to one vote on all matters submitted to a vote of stockholders. Holders of shares of our common stock have no cumulative voting rights. </w:t>
      </w:r>
    </w:p>
    <w:p>
      <w:pPr>
        <w:pStyle w:val="TextBody"/>
        <w:bidi w:val="0"/>
        <w:spacing w:before="240" w:after="0"/>
        <w:jc w:val="left"/>
        <w:rPr>
          <w:rFonts w:ascii="Times New Roman" w:hAnsi="Times New Roman"/>
          <w:sz w:val="20"/>
        </w:rPr>
      </w:pPr>
      <w:r>
        <w:rPr>
          <w:rFonts w:ascii="Times New Roman" w:hAnsi="Times New Roman"/>
          <w:i/>
          <w:sz w:val="20"/>
        </w:rPr>
        <w:t>Preemptive rights</w:t>
      </w:r>
      <w:r>
        <w:rPr>
          <w:rFonts w:ascii="Times New Roman" w:hAnsi="Times New Roman"/>
          <w:sz w:val="20"/>
        </w:rPr>
        <w:t xml:space="preserve">. Our common stock is not entitled to preemptive or other similar subscription rights to purchase any of our securities. </w:t>
      </w:r>
    </w:p>
    <w:p>
      <w:pPr>
        <w:pStyle w:val="TextBody"/>
        <w:bidi w:val="0"/>
        <w:spacing w:before="240" w:after="0"/>
        <w:jc w:val="left"/>
        <w:rPr>
          <w:rFonts w:ascii="Times New Roman" w:hAnsi="Times New Roman"/>
          <w:sz w:val="20"/>
        </w:rPr>
      </w:pPr>
      <w:r>
        <w:rPr>
          <w:rFonts w:ascii="Times New Roman" w:hAnsi="Times New Roman"/>
          <w:i/>
          <w:sz w:val="20"/>
        </w:rPr>
        <w:t>Conversion or redemption rights</w:t>
      </w:r>
      <w:r>
        <w:rPr>
          <w:rFonts w:ascii="Times New Roman" w:hAnsi="Times New Roman"/>
          <w:sz w:val="20"/>
        </w:rPr>
        <w:t xml:space="preserve">. Our common stock is neither convertible nor redeemable. </w:t>
      </w:r>
    </w:p>
    <w:p>
      <w:pPr>
        <w:pStyle w:val="TextBody"/>
        <w:bidi w:val="0"/>
        <w:spacing w:before="240" w:after="0"/>
        <w:jc w:val="left"/>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may, without further action by our stockholders, from time to time, direct the issuance of shares of preferred stock in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the common stock.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our common stock and the market value of our common stock. Upon consummation of this offering, there will be no shares of preferred stock outstanding, and we have no present intention to issue any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initial public offering, we entered into a stockholders agreement with certain of our stockholders, including investment entities affiliated with TPG Global, LLC (“TPG”), Summit Partners (“Summit”) and Silversmith Capital Partners (“Silversmith” and, together with TPG and Summit, the “Principal Stockholders”), pursuant to which such parties have specified board representation rights, governance rights and other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including investment entities affiliated with our Principal Stockholders and certain of our executive officers, are entitled to rights with respect to the registration of shares of common stock under the Securities Act. These registration rights are contained in a registration rights agreement that we entered into with such stockholders in connection with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amended and restated certificate of incorporation provides that our Board of Directors is divided with respect to the time for which directors severally hold office into three classes of directors. As a result, approximately one-third of our Board of Directors is elected each year. The classification of directors has the effect of making it more difficult for stockholders to change the composition of our Board of Directors. Our Board of Directors is currently composed of 10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the certificate of incorporation specifically authorizes cumulative voting. Our amended and restated certificate of incorporation does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Requirements for removal of directors</w:t>
            </w:r>
            <w:r>
              <w:rPr>
                <w:rFonts w:ascii="Times New Roman" w:hAnsi="Times New Roman"/>
                <w:sz w:val="20"/>
              </w:rPr>
              <w:t xml:space="preserve">. Directors may only be removed for cause. However, any director who is designated for nomination by a Principal Stockholder pursuant to the terms of our stockholders agreement may be removed with or without cause by such Principal Stockholder with the approval of the holders of the majority of the total voting power of the outstanding shares of capital stock entitled to vote generally in the election of directors, subject to the terms of our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Our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conducting a solicitation of proxies to elect its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Actions by written consent; special meetings of stockholders</w:t>
            </w:r>
            <w:r>
              <w:rPr>
                <w:rFonts w:ascii="Times New Roman" w:hAnsi="Times New Roman"/>
                <w:sz w:val="20"/>
              </w:rPr>
              <w:t xml:space="preserve">. Our amended and restated certificate of incorporation provides that, following the date on which our Principal Stockholders no longer beneficially own a majority of our common stock, stockholder action can be taken only at an annual or special meeting of stockholders and cannot be taken by written consent in lieu of a meeting. Our amended and restated certificate of incorporation also provides that, except as otherwise required by law, special meetings of the stockholders can only be called by or at the direction of the Board of Directors pursuant to a resolution approved by a majority of the entire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Supermajority approval requirements</w:t>
            </w:r>
            <w:r>
              <w:rPr>
                <w:rFonts w:ascii="Times New Roman" w:hAnsi="Times New Roman"/>
                <w:sz w:val="20"/>
              </w:rPr>
              <w:t xml:space="preserve">. Certain amendments to our certificate of incorporation and shareholder amendments to our bylaws will require the affirmative vote of at least two-thirds of the voting power of the outstanding shares of our capital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Our authorized but unissued shares of common and preferred stock are available for future issuance without stockholder approval. The existence of authorized but unissued shares of preferred stock could render more difficult or discourage an attempt to obtain control of us by means of a proxy contest, tender offer, merger or otherwise.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bylaws, (4) any action to interpret, apply, enforce or determine the validity of our amended and restated certificate of incorporation or our bylaws or (5) any other action asserting a claim against us that is governed by the internal affairs doctrine; provided that, the exclusive forum provision will not apply to suits brought to enforce any liability or duty created by the Exchange Act or to any claim for which the federal courts have exclusive jurisdiction. Our amended and restated certificate of incorporation also provides that, unless we consent in writing to the selection of an alternative forum, the U.S. federal district courts shall be the exclusive forum for the resolution of any claims arising under the Securities Act. Although we believe these provisions benefit us by providing increased consistency in the application of Delaware and certain federal securities law, these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in our amended and restated certificate of incorporation not to be subject to Section 203 of the DGCL (“Section 203”), an antitakeover law. In general,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completion of the transaction that resulted in the stockholder becoming an interested stockholder, the interested stockholder owned at least 85% of the voting stock of the corporation outstanding at the time the transaction commenced, calculated pursuant to Section 203;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the stockholders, and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written consent,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will not be subject to any anti-takeover effects of Section 203, our amended and restated certificate of incorporation contains provisions that have the same effect as Section 203, except that they provide that investment funds affiliated with our Principal Stockholders will not be deemed to be an “interested stockholder,” regardless of the percentage of our voting stock owned by investment funds affiliated with our Principal Stockholders, and accordingly we will not be subject to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renounce any interest or expectancy in the business opportunities of our Principal Stockholders and each of their respective partners, principals, directors, officers, members, managers and/or employees, including any of the foregoing who serve as officers or directors of the Company, and each such party shall not have any obligation to offer us those opportunities unless presented to one of our directors or officers in his or her capacity as a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limits the liability of our directors and officers to the fullest extent permitted by Delaware law and requires that we will provide them with customary indemnification. We have also entered into customary indemnification agreements with each of our directors that provide them, in general, with customary indemnification in connection with their service to us or on our behalf. Insofar as indemnification for liabilities arising under the Securities Act may be permitted to directors, we have been informed that in the opinion of the SEC such indemnification is against public policy and is therefore unenforceable. We also maintain officers’ and directors’ liability insurance that insures against liabilities that our officers and directors may incur in such capacities.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“LFST.”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93905_9"/>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stockholders to be identified in a prospectus supplement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any or all of the common stock offered hereby directly to one or more purchasers or through one or more underwriters, broker-dealers or agents, or through a combination of any of these methods of sale. The selling stockholders will be responsible for any underwriting discounts or agent’s commissions attributable to the resale of the shares of our common stock. Shares of our common stock may be sold in one or more transactions at fixed prices, at prevailing market prices at the time of the sale, at varying prices determined at the time of sale, or at negotiated prices. These prices will be determined by the selling stockholders or by agreement between such selling stockholders and any underwriter, broker-dealer or agent who receives fees or commissions in connection with a sale. The selling stockholders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Nasdaq or any other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loans or pledges of our common stock to a broker-dealer who may sell shares of our common stock so loaned or, upon a default, may sell or otherwise transfer the pledged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under Rule 144 under the Securities Act or other available exemptions from the registration requirements of the Securities Act rather than under this prospectus or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stockholders may enter into hedging transactions with broker-dealers which may engage in short sales of shares of our common stock in the course of hedging the positions they assume with the selling stockholders. The selling stockholders may also sell shares of our common stock short and deliver the shares of our common stock to close out such short position. The selling stockholders may also enter into option or other transactions with broker-dealers that require the delivery by such broker-dealers of the shares of our common stock, which shares may be resold thereafter pursuant to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If the selling stockholders effect such transactions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or both (which discounts, concessions or commissions as to particular underwriters, broker-dealers or agents may be less than or in excess of those customary in the types of transactions involved).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shares of common stock held by the selling stockholders,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shares of common stock to be offered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and other material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 under which underwriters may purchase additional shares of common stock from the selling stockholders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are involved in selling the shares may be deemed to be “underwriters” within the meaning of the Securities Act in connection with such sales. In such event, any commissions received by such underwriters, broker-dealers or agents and any profit on the resale of the shares purchased by them may be deemed to be underwriting commissions or discounts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be entitled to indemnification by us and the selling stockholders against certain civil liabilities, including liabilities under the Securities Act, or to contribution with respect to payments which the underwriters, broker-dealers or agents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be subject to the Exchange Act, including Regulation M, which may limit the timing of purchases and sales of our common stock by the selling stockholders and their affiliates,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stockholders will sell any or all of the shares of our common stock registered pursuant to the registration statement of which this prospectus or any applicable prospectus supplement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93905_10"/>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Boston, MA, will pass upon the validity of the common stock offered by this prospectus. Additional legal matters may be passed 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6" w:name="rom93905_11"/>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35,000,000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5080" cy="5880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545080" cy="58801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LifeStance Health Group,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240" w:after="0"/>
        <w:jc w:val="center"/>
        <w:rPr>
          <w:rFonts w:ascii="Times New Roman" w:hAnsi="Times New Roman"/>
          <w:b/>
          <w:sz w:val="20"/>
        </w:rPr>
      </w:pPr>
      <w:r>
        <w:rPr>
          <w:rFonts w:ascii="Times New Roman" w:hAnsi="Times New Roman"/>
          <w:b/>
          <w:sz w:val="20"/>
        </w:rPr>
        <w:t xml:space="preserve">May 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7" w:name="d93905dexfilingfees.htm"/>
      <w:bookmarkStart w:id="28" w:name="ksd93905dexfilingfees"/>
      <w:bookmarkStart w:id="29" w:name="d93905dexfilingfees.htm"/>
      <w:bookmarkStart w:id="30" w:name="ksd93905dexfilingfees"/>
      <w:bookmarkEnd w:id="29"/>
      <w:bookmarkEnd w:id="30"/>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LifeStance Health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35,000,000 </w:t>
            </w:r>
          </w:p>
        </w:tc>
        <w:tc>
          <w:tcPr>
            <w:tcW w:w="1156" w:type="dxa"/>
            <w:tcBorders/>
            <w:shd w:fill="E7E7E2" w:val="clear"/>
            <w:vAlign w:val="center"/>
          </w:tcPr>
          <w:p>
            <w:pPr>
              <w:pStyle w:val="TableContents"/>
              <w:bidi w:val="0"/>
              <w:spacing w:before="0" w:after="283"/>
              <w:jc w:val="right"/>
              <w:rPr/>
            </w:pPr>
            <w:r>
              <w:rPr/>
              <w:t xml:space="preserve">$ 8.15 </w:t>
            </w:r>
          </w:p>
        </w:tc>
        <w:tc>
          <w:tcPr>
            <w:tcW w:w="1786" w:type="dxa"/>
            <w:tcBorders/>
            <w:shd w:fill="E7E7E2" w:val="clear"/>
            <w:vAlign w:val="center"/>
          </w:tcPr>
          <w:p>
            <w:pPr>
              <w:pStyle w:val="TableContents"/>
              <w:bidi w:val="0"/>
              <w:spacing w:before="0" w:after="283"/>
              <w:jc w:val="right"/>
              <w:rPr/>
            </w:pPr>
            <w:r>
              <w:rPr/>
              <w:t xml:space="preserve">$ 285,250,000.00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$ 39,393.03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1" w:name="MaxAggtOfferingPrice"/>
            <w:bookmarkEnd w:id="31"/>
            <w:r>
              <w:rPr/>
              <w:t xml:space="preserve">$ 285,250,000.00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$ 39,393.03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$ 39,393.03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5"/>
        <w:gridCol w:w="8707"/>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Pursuant to Rule 416 of the Securities Act of 1933, as amended (the "Securities Act"), the registration statement on Form S-3ASR (Registration No. 333-279585) also covers any additional common shares which become issuable in connection with any stock dividend, stock split, recapitalization or other similar transactions with respect to the securities being registered pursuant to that registration statement. (2) The registration fee is calculated in accordance with Rule 457(r) of the Securities Act and represents deferred payment of the registration fees in connection with the Registrant's registration statement on Form S-3ASR (Registration No. 333-279585) paid with the filing of this prospectus supplement.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$285,250,000.00.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45257/000119312526071462/lfst-20251231.htm" TargetMode="External"/><Relationship Id="rId4" Type="http://schemas.openxmlformats.org/officeDocument/2006/relationships/hyperlink" Target="http://www.sec.gov/Archives/edgar/data/../../../ix?doc=/Archives/edgar/data/1845257/000119312526211814/lfst-20260331.htm" TargetMode="External"/><Relationship Id="rId5" Type="http://schemas.openxmlformats.org/officeDocument/2006/relationships/hyperlink" Target="http://www.sec.gov/Archives/edgar/data/../../../ix?doc=/Archives/edgar/data/1845257/000119312526170798/lfst-20260421.htm" TargetMode="External"/><Relationship Id="rId6" Type="http://schemas.openxmlformats.org/officeDocument/2006/relationships/hyperlink" Target="http://www.sec.gov/Archives/edgar/data/../../../ix?doc=/Archives/edgar/data/0001845257/000119312526067858/lfst-20260225.htm" TargetMode="External"/><Relationship Id="rId7" Type="http://schemas.openxmlformats.org/officeDocument/2006/relationships/hyperlink" Target="http://www.sec.gov/Archives/edgar/data/../../../ix?doc=/Archives/edgar/data/0001845257/000119312526085507/d116309d8k.htm" TargetMode="External"/><Relationship Id="rId8" Type="http://schemas.openxmlformats.org/officeDocument/2006/relationships/hyperlink" Target="http://www.sec.gov/Archives/edgar/data/../../../ix?doc=/Archives/edgar/data/0001845257/000119312526102436/d128029d8k.htm" TargetMode="External"/><Relationship Id="rId9" Type="http://schemas.openxmlformats.org/officeDocument/2006/relationships/hyperlink" Target="http://www.sec.gov/Archives/edgar/data/1845257/000095017022004096/lfst-ex4_2.htm" TargetMode="External"/><Relationship Id="rId10" Type="http://schemas.openxmlformats.org/officeDocument/2006/relationships/image" Target="media/image1.jpeg"/><Relationship Id="rId11" Type="http://schemas.openxmlformats.org/officeDocument/2006/relationships/hyperlink" Target="http://www.sec.gov/Archives/edgar/data/../../../ix?doc=/Archives/edgar/data/0001845257/000095017024022131/lfst-20231231.htm" TargetMode="External"/><Relationship Id="rId12" Type="http://schemas.openxmlformats.org/officeDocument/2006/relationships/hyperlink" Target="http://www.sec.gov/Archives/edgar/data/../../../ix?doc=/Archives/edgar/data/0001845257/000095017024056989/lfst-20240331.htm" TargetMode="External"/><Relationship Id="rId13" Type="http://schemas.openxmlformats.org/officeDocument/2006/relationships/hyperlink" Target="http://www.sec.gov/Archives/edgar/data/../../../ix?doc=/Archives/edgar/data/0001845257/000095017024046929/lfst-20240422.htm" TargetMode="External"/><Relationship Id="rId14" Type="http://schemas.openxmlformats.org/officeDocument/2006/relationships/hyperlink" Target="http://www.sec.gov/Archives/edgar/data/../../../ix?doc=/Archives/edgar/data/0001845257/000119312524022199/d701308d8k.htm" TargetMode="External"/><Relationship Id="rId15" Type="http://schemas.openxmlformats.org/officeDocument/2006/relationships/hyperlink" Target="http://www.sec.gov/Archives/edgar/data/../../../ix?doc=/Archives/edgar/data/0001845257/000095017024029684/lfst-20240312.htm" TargetMode="External"/><Relationship Id="rId16" Type="http://schemas.openxmlformats.org/officeDocument/2006/relationships/hyperlink" Target="http://www.sec.gov/Archives/edgar/data/../../../ix?doc=/Archives/edgar/data/0001845257/000095017024056089/lfst-20240506.htm" TargetMode="External"/><Relationship Id="rId17" Type="http://schemas.openxmlformats.org/officeDocument/2006/relationships/hyperlink" Target="http://www.sec.gov/Archives/edgar/data/1845257/000095017022004096/lfst-ex4_2.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21456</Words>
  <Characters>114117</Characters>
  <CharactersWithSpaces>135963</CharactersWithSpaces>
  <Paragraphs>1442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