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333-279585</w:t>
      </w:r>
    </w:p>
    <w:p>
      <w:pPr>
        <w:spacing w:after="0" w:line="288" w:lineRule="exact"/>
        <w:rPr>
          <w:sz w:val="24"/>
          <w:szCs w:val="24"/>
          <w:color w:val="auto"/>
        </w:rPr>
      </w:pPr>
    </w:p>
    <w:tbl>
      <w:tblPr>
        <w:tblLayout w:type="fixed"/>
        <w:tblInd w:w="120" w:type="dxa"/>
        <w:tblCellMar>
          <w:top w:w="0" w:type="dxa"/>
          <w:left w:w="0" w:type="dxa"/>
          <w:bottom w:w="0" w:type="dxa"/>
          <w:right w:w="0" w:type="dxa"/>
        </w:tblCellMar>
      </w:tblPr>
      <w:tr>
        <w:trPr>
          <w:trHeight w:val="162"/>
        </w:trPr>
        <w:tc>
          <w:tcPr>
            <w:tcW w:w="520" w:type="dxa"/>
            <w:vAlign w:val="bottom"/>
            <w:textDirection w:val="btLr"/>
          </w:tcPr>
          <w:p>
            <w:pPr>
              <w:ind w:left="17"/>
              <w:spacing w:after="0"/>
              <w:rPr>
                <w:sz w:val="20"/>
                <w:szCs w:val="20"/>
                <w:color w:val="auto"/>
              </w:rPr>
            </w:pPr>
            <w:r>
              <w:rPr>
                <w:rFonts w:ascii="Arial" w:cs="Arial" w:eastAsia="Arial" w:hAnsi="Arial"/>
                <w:sz w:val="18"/>
                <w:szCs w:val="18"/>
                <w:b w:val="1"/>
                <w:bCs w:val="1"/>
                <w:color w:val="FF4338"/>
              </w:rPr>
              <w:t>is</w:t>
            </w:r>
          </w:p>
        </w:tc>
        <w:tc>
          <w:tcPr>
            <w:tcW w:w="6600" w:type="dxa"/>
            <w:vAlign w:val="bottom"/>
            <w:vMerge w:val="restart"/>
          </w:tcPr>
          <w:p>
            <w:pPr>
              <w:jc w:val="center"/>
              <w:ind w:left="3252"/>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May 7, 2026</w:t>
            </w:r>
          </w:p>
        </w:tc>
        <w:tc>
          <w:tcPr>
            <w:tcW w:w="0" w:type="dxa"/>
            <w:vAlign w:val="bottom"/>
          </w:tcPr>
          <w:p>
            <w:pPr>
              <w:spacing w:after="0"/>
              <w:rPr>
                <w:sz w:val="1"/>
                <w:szCs w:val="1"/>
                <w:color w:val="auto"/>
              </w:rPr>
            </w:pPr>
          </w:p>
        </w:tc>
      </w:tr>
      <w:tr>
        <w:trPr>
          <w:trHeight w:val="77"/>
        </w:trPr>
        <w:tc>
          <w:tcPr>
            <w:tcW w:w="520" w:type="dxa"/>
            <w:vAlign w:val="bottom"/>
            <w:vMerge w:val="restart"/>
            <w:textDirection w:val="btLr"/>
          </w:tcPr>
          <w:p>
            <w:pPr>
              <w:ind w:left="415"/>
              <w:spacing w:after="0"/>
              <w:rPr>
                <w:sz w:val="20"/>
                <w:szCs w:val="20"/>
                <w:color w:val="auto"/>
              </w:rPr>
            </w:pPr>
            <w:r>
              <w:rPr>
                <w:rFonts w:ascii="Arial" w:cs="Arial" w:eastAsia="Arial" w:hAnsi="Arial"/>
                <w:sz w:val="1"/>
                <w:szCs w:val="1"/>
                <w:b w:val="1"/>
                <w:bCs w:val="1"/>
                <w:color w:val="FF4338"/>
              </w:rPr>
              <w:t>changed.Thispreliminaryprospectussupplementinanyjurisdictionwheretheofferorsaleisnot</w:t>
            </w:r>
          </w:p>
        </w:tc>
        <w:tc>
          <w:tcPr>
            <w:tcW w:w="6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520" w:type="dxa"/>
            <w:vAlign w:val="bottom"/>
            <w:vMerge w:val="continue"/>
          </w:tcPr>
          <w:p>
            <w:pPr>
              <w:spacing w:after="0"/>
              <w:rPr>
                <w:sz w:val="24"/>
                <w:szCs w:val="24"/>
                <w:color w:val="auto"/>
              </w:rPr>
            </w:pPr>
          </w:p>
        </w:tc>
        <w:tc>
          <w:tcPr>
            <w:tcW w:w="66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6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 Prospectus dated May 21, 2024)</w:t>
            </w:r>
          </w:p>
        </w:tc>
        <w:tc>
          <w:tcPr>
            <w:tcW w:w="0" w:type="dxa"/>
            <w:vAlign w:val="bottom"/>
          </w:tcPr>
          <w:p>
            <w:pPr>
              <w:spacing w:after="0"/>
              <w:rPr>
                <w:sz w:val="1"/>
                <w:szCs w:val="1"/>
                <w:color w:val="auto"/>
              </w:rPr>
            </w:pPr>
          </w:p>
        </w:tc>
      </w:tr>
      <w:tr>
        <w:trPr>
          <w:trHeight w:val="706"/>
        </w:trPr>
        <w:tc>
          <w:tcPr>
            <w:tcW w:w="520" w:type="dxa"/>
            <w:vAlign w:val="bottom"/>
          </w:tcPr>
          <w:p>
            <w:pPr>
              <w:spacing w:after="0"/>
              <w:rPr>
                <w:sz w:val="24"/>
                <w:szCs w:val="24"/>
                <w:color w:val="auto"/>
              </w:rPr>
            </w:pPr>
          </w:p>
        </w:tc>
        <w:tc>
          <w:tcPr>
            <w:tcW w:w="6600" w:type="dxa"/>
            <w:vAlign w:val="bottom"/>
          </w:tcPr>
          <w:p>
            <w:pPr>
              <w:jc w:val="center"/>
              <w:ind w:left="3252"/>
              <w:spacing w:after="0"/>
              <w:rPr>
                <w:sz w:val="20"/>
                <w:szCs w:val="20"/>
                <w:color w:val="auto"/>
              </w:rPr>
            </w:pPr>
            <w:r>
              <w:rPr>
                <w:rFonts w:ascii="Times New Roman" w:cs="Times New Roman" w:eastAsia="Times New Roman" w:hAnsi="Times New Roman"/>
                <w:sz w:val="32"/>
                <w:szCs w:val="32"/>
                <w:b w:val="1"/>
                <w:bCs w:val="1"/>
                <w:color w:val="auto"/>
              </w:rPr>
              <w:t>35,000,000 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143510</wp:posOffset>
            </wp:positionV>
            <wp:extent cx="229743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9743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LifeStance Health Group, Inc.</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250825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80" w:type="dxa"/>
            <w:vAlign w:val="bottom"/>
            <w:vMerge w:val="restart"/>
            <w:textDirection w:val="btLr"/>
          </w:tcPr>
          <w:p>
            <w:pPr>
              <w:ind w:left="157"/>
              <w:spacing w:after="0"/>
              <w:rPr>
                <w:sz w:val="20"/>
                <w:szCs w:val="20"/>
                <w:color w:val="auto"/>
              </w:rPr>
            </w:pPr>
            <w:r>
              <w:rPr>
                <w:rFonts w:ascii="Arial" w:cs="Arial" w:eastAsia="Arial" w:hAnsi="Arial"/>
                <w:sz w:val="2"/>
                <w:szCs w:val="2"/>
                <w:b w:val="1"/>
                <w:bCs w:val="1"/>
                <w:color w:val="FF4338"/>
                <w:w w:val="87"/>
              </w:rPr>
              <w:t>prospectussupplementisnotcompleteandmaybe</w:t>
            </w:r>
          </w:p>
        </w:tc>
        <w:tc>
          <w:tcPr>
            <w:tcW w:w="440" w:type="dxa"/>
            <w:vAlign w:val="bottom"/>
            <w:vMerge w:val="restart"/>
            <w:textDirection w:val="btLr"/>
          </w:tcPr>
          <w:p>
            <w:pPr>
              <w:ind w:left="223"/>
              <w:spacing w:after="0"/>
              <w:rPr>
                <w:sz w:val="20"/>
                <w:szCs w:val="20"/>
                <w:color w:val="auto"/>
              </w:rPr>
            </w:pPr>
            <w:r>
              <w:rPr>
                <w:rFonts w:ascii="Arial" w:cs="Arial" w:eastAsia="Arial" w:hAnsi="Arial"/>
                <w:sz w:val="2"/>
                <w:szCs w:val="2"/>
                <w:b w:val="1"/>
                <w:bCs w:val="1"/>
                <w:color w:val="FF4338"/>
                <w:w w:val="91"/>
              </w:rPr>
              <w:t>andisnotsolicitinganoffertobuythesesecurities</w:t>
            </w:r>
          </w:p>
        </w:tc>
        <w:tc>
          <w:tcPr>
            <w:tcW w:w="60" w:type="dxa"/>
            <w:vAlign w:val="bottom"/>
          </w:tcPr>
          <w:p>
            <w:pPr>
              <w:spacing w:after="0"/>
              <w:rPr>
                <w:sz w:val="18"/>
                <w:szCs w:val="18"/>
                <w:color w:val="auto"/>
              </w:rPr>
            </w:pPr>
          </w:p>
        </w:tc>
        <w:tc>
          <w:tcPr>
            <w:tcW w:w="96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The selling stockholders identified in this prospectus supplement are offering 35,000,000 shares of common stock, par value</w:t>
            </w:r>
          </w:p>
        </w:tc>
        <w:tc>
          <w:tcPr>
            <w:tcW w:w="0" w:type="dxa"/>
            <w:vAlign w:val="bottom"/>
          </w:tcPr>
          <w:p>
            <w:pPr>
              <w:spacing w:after="0"/>
              <w:rPr>
                <w:sz w:val="1"/>
                <w:szCs w:val="1"/>
                <w:color w:val="auto"/>
              </w:rPr>
            </w:pPr>
          </w:p>
        </w:tc>
      </w:tr>
      <w:tr>
        <w:trPr>
          <w:trHeight w:val="180"/>
        </w:trPr>
        <w:tc>
          <w:tcPr>
            <w:tcW w:w="1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80" w:type="dxa"/>
            <w:vAlign w:val="bottom"/>
            <w:gridSpan w:val="13"/>
            <w:vMerge w:val="restart"/>
          </w:tcPr>
          <w:p>
            <w:pPr>
              <w:ind w:left="60"/>
              <w:spacing w:after="0"/>
              <w:rPr>
                <w:sz w:val="20"/>
                <w:szCs w:val="20"/>
                <w:color w:val="auto"/>
              </w:rPr>
            </w:pPr>
            <w:r>
              <w:rPr>
                <w:rFonts w:ascii="Times New Roman" w:cs="Times New Roman" w:eastAsia="Times New Roman" w:hAnsi="Times New Roman"/>
                <w:sz w:val="18"/>
                <w:szCs w:val="18"/>
                <w:color w:val="auto"/>
              </w:rPr>
              <w:t>$0.01 per share (the “common stock”), of LifeStance Health Group, Inc. (the “Company”). The Company is not selling any shares of</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80" w:type="dxa"/>
            <w:vAlign w:val="bottom"/>
            <w:gridSpan w:val="1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common stock under this prospectus supplement and will not receive any proceeds from the sale of shares by the selling</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6,000,000 shares of our common stock</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that are subject to this offering at a price per share equal to the price per share paid by the underwriter to the selling stockholders in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this offering (the “Share Repurchase”). The repurchased shares of common stock will no longer be outstanding after this offering.</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The underwriter will not receive any compensation for the shares of our common stock being purchased by us. The offering is not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conditioned upon the completion of the Share Repurchase. We cannot assure you that this offering or the Share Repurchase will be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w w:val="99"/>
              </w:rPr>
              <w:t>consummated. Nothing in this prospectus supplement should be construed as an offer to sell, or the solicitation of an offer to buy, any</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shares of our common stock subject to the Repurchase.</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Select Market (“Nasdaq”) under the symbol “LFST.” On May 6,</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2026, the last sale price of the common stock as reported on Nasdaq was $7.36 per share.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Stockholders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720" w:type="dxa"/>
            <w:vAlign w:val="bottom"/>
          </w:tcPr>
          <w:p>
            <w:pPr>
              <w:jc w:val="center"/>
              <w:ind w:right="170"/>
              <w:spacing w:after="0"/>
              <w:rPr>
                <w:sz w:val="20"/>
                <w:szCs w:val="20"/>
                <w:color w:val="auto"/>
              </w:rPr>
            </w:pPr>
            <w:r>
              <w:rPr>
                <w:rFonts w:ascii="Times New Roman" w:cs="Times New Roman" w:eastAsia="Times New Roman" w:hAnsi="Times New Roman"/>
                <w:sz w:val="11"/>
                <w:szCs w:val="11"/>
                <w:b w:val="1"/>
                <w:bCs w:val="1"/>
                <w:color w:val="auto"/>
              </w:rPr>
              <w:t>(2)</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(Before Expenses)</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80" w:type="dxa"/>
            <w:vAlign w:val="bottom"/>
            <w:vMerge w:val="restart"/>
            <w:textDirection w:val="btLr"/>
          </w:tcPr>
          <w:p>
            <w:pPr>
              <w:ind w:left="146"/>
              <w:spacing w:after="0"/>
              <w:rPr>
                <w:sz w:val="20"/>
                <w:szCs w:val="20"/>
                <w:color w:val="auto"/>
              </w:rPr>
            </w:pPr>
            <w:r>
              <w:rPr>
                <w:rFonts w:ascii="Arial" w:cs="Arial" w:eastAsia="Arial" w:hAnsi="Arial"/>
                <w:sz w:val="3"/>
                <w:szCs w:val="3"/>
                <w:b w:val="1"/>
                <w:bCs w:val="1"/>
                <w:color w:val="FF4338"/>
                <w:w w:val="74"/>
              </w:rPr>
              <w:t>thispreliminary</w:t>
            </w:r>
          </w:p>
        </w:tc>
        <w:tc>
          <w:tcPr>
            <w:tcW w:w="440" w:type="dxa"/>
            <w:vAlign w:val="bottom"/>
            <w:vMerge w:val="restart"/>
            <w:textDirection w:val="btLr"/>
          </w:tcPr>
          <w:p>
            <w:pPr>
              <w:ind w:left="212"/>
              <w:spacing w:after="0"/>
              <w:rPr>
                <w:sz w:val="20"/>
                <w:szCs w:val="20"/>
                <w:color w:val="auto"/>
              </w:rPr>
            </w:pPr>
            <w:r>
              <w:rPr>
                <w:rFonts w:ascii="Arial" w:cs="Arial" w:eastAsia="Arial" w:hAnsi="Arial"/>
                <w:sz w:val="3"/>
                <w:szCs w:val="3"/>
                <w:b w:val="1"/>
                <w:bCs w:val="1"/>
                <w:color w:val="FF4338"/>
                <w:w w:val="73"/>
              </w:rPr>
              <w:t>thesesecurities</w:t>
            </w:r>
          </w:p>
        </w:tc>
        <w:tc>
          <w:tcPr>
            <w:tcW w:w="6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490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
        </w:trPr>
        <w:tc>
          <w:tcPr>
            <w:tcW w:w="1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20" w:type="dxa"/>
            <w:vAlign w:val="bottom"/>
            <w:gridSpan w:val="6"/>
          </w:tcPr>
          <w:p>
            <w:pPr>
              <w:ind w:left="60"/>
              <w:spacing w:after="0"/>
              <w:rPr>
                <w:sz w:val="20"/>
                <w:szCs w:val="20"/>
                <w:color w:val="auto"/>
              </w:rPr>
            </w:pPr>
            <w:r>
              <w:rPr>
                <w:rFonts w:ascii="Times New Roman" w:cs="Times New Roman" w:eastAsia="Times New Roman" w:hAnsi="Times New Roman"/>
                <w:sz w:val="1"/>
                <w:szCs w:val="1"/>
                <w:b w:val="1"/>
                <w:bCs w:val="1"/>
                <w:color w:val="auto"/>
              </w:rPr>
              <w:t>and in the documents incorporated by reference herein.</w:t>
            </w: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0" w:type="dxa"/>
            <w:vAlign w:val="bottom"/>
            <w:gridSpan w:val="9"/>
          </w:tcPr>
          <w:p>
            <w:pPr>
              <w:ind w:left="60"/>
              <w:spacing w:after="0" w:line="133" w:lineRule="exact"/>
              <w:rPr>
                <w:sz w:val="20"/>
                <w:szCs w:val="20"/>
                <w:color w:val="auto"/>
              </w:rPr>
            </w:pPr>
            <w:r>
              <w:rPr>
                <w:rFonts w:ascii="Times New Roman" w:cs="Times New Roman" w:eastAsia="Times New Roman" w:hAnsi="Times New Roman"/>
                <w:sz w:val="14"/>
                <w:szCs w:val="14"/>
                <w:color w:val="auto"/>
              </w:rPr>
              <w:t>(1)   No underwriting discount will be paid on the shares of common stock sold to us pursuant to the Share Repurchase.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13"/>
          </w:tcPr>
          <w:p>
            <w:pPr>
              <w:ind w:left="60"/>
              <w:spacing w:after="0" w:line="149" w:lineRule="exact"/>
              <w:rPr>
                <w:sz w:val="20"/>
                <w:szCs w:val="20"/>
                <w:color w:val="auto"/>
              </w:rPr>
            </w:pPr>
            <w:r>
              <w:rPr>
                <w:rFonts w:ascii="Times New Roman" w:cs="Times New Roman" w:eastAsia="Times New Roman" w:hAnsi="Times New Roman"/>
                <w:sz w:val="14"/>
                <w:szCs w:val="14"/>
                <w:color w:val="auto"/>
              </w:rPr>
              <w:t>(2)   We have agreed to reimburse the underwriter for certain expenses in connection with this offering, other than underwriting discounts and commissions that will</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20" w:type="dxa"/>
            <w:vAlign w:val="bottom"/>
            <w:gridSpan w:val="12"/>
          </w:tcPr>
          <w:p>
            <w:pPr>
              <w:ind w:left="380"/>
              <w:spacing w:after="0" w:line="149" w:lineRule="exact"/>
              <w:rPr>
                <w:sz w:val="20"/>
                <w:szCs w:val="20"/>
                <w:color w:val="auto"/>
              </w:rPr>
            </w:pPr>
            <w:r>
              <w:rPr>
                <w:rFonts w:ascii="Times New Roman" w:cs="Times New Roman" w:eastAsia="Times New Roman" w:hAnsi="Times New Roman"/>
                <w:sz w:val="14"/>
                <w:szCs w:val="14"/>
                <w:color w:val="auto"/>
              </w:rPr>
              <w:t>be borne by the selling stockholders. See “Underwriting” beginning on page S-11 of this prospectus supplement for additional information regarding</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underwriting compensation.</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gridSpan w:val="12"/>
          </w:tcPr>
          <w:p>
            <w:pPr>
              <w:ind w:left="380"/>
              <w:spacing w:after="0"/>
              <w:rPr>
                <w:sz w:val="20"/>
                <w:szCs w:val="20"/>
                <w:color w:val="auto"/>
              </w:rPr>
            </w:pPr>
            <w:r>
              <w:rPr>
                <w:rFonts w:ascii="Times New Roman" w:cs="Times New Roman" w:eastAsia="Times New Roman" w:hAnsi="Times New Roman"/>
                <w:sz w:val="22"/>
                <w:szCs w:val="22"/>
                <w:b w:val="1"/>
                <w:bCs w:val="1"/>
                <w:color w:val="auto"/>
                <w:w w:val="98"/>
              </w:rPr>
              <w:t>Investing in the Company’s common stock involves risks. See “</w:t>
            </w:r>
            <w:r>
              <w:rPr>
                <w:rFonts w:ascii="Times New Roman" w:cs="Times New Roman" w:eastAsia="Times New Roman" w:hAnsi="Times New Roman"/>
                <w:sz w:val="22"/>
                <w:szCs w:val="22"/>
                <w:b w:val="1"/>
                <w:bCs w:val="1"/>
                <w:color w:val="0000EE"/>
                <w:w w:val="98"/>
              </w:rPr>
              <w:t>Risk Factors</w:t>
            </w:r>
            <w:r>
              <w:rPr>
                <w:rFonts w:ascii="Times New Roman" w:cs="Times New Roman" w:eastAsia="Times New Roman" w:hAnsi="Times New Roman"/>
                <w:sz w:val="22"/>
                <w:szCs w:val="22"/>
                <w:b w:val="1"/>
                <w:bCs w:val="1"/>
                <w:color w:val="auto"/>
                <w:w w:val="98"/>
              </w:rPr>
              <w:t>” beginning on page S-4</w:t>
            </w:r>
          </w:p>
        </w:tc>
        <w:tc>
          <w:tcPr>
            <w:tcW w:w="0" w:type="dxa"/>
            <w:vAlign w:val="bottom"/>
          </w:tcPr>
          <w:p>
            <w:pPr>
              <w:spacing w:after="0"/>
              <w:rPr>
                <w:sz w:val="1"/>
                <w:szCs w:val="1"/>
                <w:color w:val="auto"/>
              </w:rPr>
            </w:pPr>
          </w:p>
        </w:tc>
      </w:tr>
      <w:tr>
        <w:trPr>
          <w:trHeight w:val="20"/>
        </w:trPr>
        <w:tc>
          <w:tcPr>
            <w:tcW w:w="180" w:type="dxa"/>
            <w:vAlign w:val="bottom"/>
            <w:vMerge w:val="restart"/>
            <w:textDirection w:val="btLr"/>
          </w:tcPr>
          <w:p>
            <w:pPr>
              <w:ind w:left="42"/>
              <w:spacing w:after="0"/>
              <w:rPr>
                <w:sz w:val="20"/>
                <w:szCs w:val="20"/>
                <w:color w:val="auto"/>
              </w:rPr>
            </w:pPr>
            <w:r>
              <w:rPr>
                <w:rFonts w:ascii="Arial" w:cs="Arial" w:eastAsia="Arial" w:hAnsi="Arial"/>
                <w:sz w:val="12"/>
                <w:szCs w:val="12"/>
                <w:b w:val="1"/>
                <w:bCs w:val="1"/>
                <w:color w:val="FF4338"/>
                <w:w w:val="73"/>
              </w:rPr>
              <w:t>Theinformationin</w:t>
            </w:r>
          </w:p>
        </w:tc>
        <w:tc>
          <w:tcPr>
            <w:tcW w:w="440" w:type="dxa"/>
            <w:vAlign w:val="bottom"/>
            <w:vMerge w:val="restart"/>
            <w:textDirection w:val="btLr"/>
          </w:tcPr>
          <w:p>
            <w:pPr>
              <w:ind w:left="348"/>
              <w:spacing w:after="0"/>
              <w:rPr>
                <w:sz w:val="20"/>
                <w:szCs w:val="20"/>
                <w:color w:val="auto"/>
              </w:rPr>
            </w:pPr>
            <w:r>
              <w:rPr>
                <w:rFonts w:ascii="Arial" w:cs="Arial" w:eastAsia="Arial" w:hAnsi="Arial"/>
                <w:sz w:val="8"/>
                <w:szCs w:val="8"/>
                <w:b w:val="1"/>
                <w:bCs w:val="1"/>
                <w:color w:val="FF4338"/>
                <w:w w:val="72"/>
              </w:rPr>
              <w:t>notanoffertosellpermitted.</w:t>
            </w:r>
          </w:p>
        </w:tc>
        <w:tc>
          <w:tcPr>
            <w:tcW w:w="60" w:type="dxa"/>
            <w:vAlign w:val="bottom"/>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18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w:t>
            </w:r>
          </w:p>
        </w:tc>
        <w:tc>
          <w:tcPr>
            <w:tcW w:w="0" w:type="dxa"/>
            <w:vAlign w:val="bottom"/>
          </w:tcPr>
          <w:p>
            <w:pPr>
              <w:spacing w:after="0"/>
              <w:rPr>
                <w:sz w:val="1"/>
                <w:szCs w:val="1"/>
                <w:color w:val="auto"/>
              </w:rPr>
            </w:pPr>
          </w:p>
        </w:tc>
      </w:tr>
      <w:tr>
        <w:trPr>
          <w:trHeight w:val="2"/>
        </w:trPr>
        <w:tc>
          <w:tcPr>
            <w:tcW w:w="1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60" w:type="dxa"/>
            <w:vAlign w:val="bottom"/>
            <w:gridSpan w:val="5"/>
          </w:tcPr>
          <w:p>
            <w:pPr>
              <w:ind w:left="380"/>
              <w:spacing w:after="0" w:line="2" w:lineRule="exact"/>
              <w:rPr>
                <w:sz w:val="20"/>
                <w:szCs w:val="20"/>
                <w:color w:val="auto"/>
              </w:rPr>
            </w:pPr>
            <w:r>
              <w:rPr>
                <w:rFonts w:ascii="Times New Roman" w:cs="Times New Roman" w:eastAsia="Times New Roman" w:hAnsi="Times New Roman"/>
                <w:sz w:val="1"/>
                <w:szCs w:val="1"/>
                <w:color w:val="auto"/>
              </w:rPr>
              <w:t>The underwriter expects to deliver the shares of common stock on or about  </w:t>
            </w:r>
          </w:p>
        </w:tc>
        <w:tc>
          <w:tcPr>
            <w:tcW w:w="220" w:type="dxa"/>
            <w:vAlign w:val="bottom"/>
          </w:tcPr>
          <w:p>
            <w:pPr>
              <w:jc w:val="right"/>
              <w:ind w:right="55"/>
              <w:spacing w:after="0" w:line="2" w:lineRule="exact"/>
              <w:rPr>
                <w:sz w:val="20"/>
                <w:szCs w:val="20"/>
                <w:color w:val="auto"/>
              </w:rPr>
            </w:pPr>
            <w:r>
              <w:rPr>
                <w:rFonts w:ascii="Times New Roman" w:cs="Times New Roman" w:eastAsia="Times New Roman" w:hAnsi="Times New Roman"/>
                <w:sz w:val="1"/>
                <w:szCs w:val="1"/>
                <w:color w:val="auto"/>
              </w:rPr>
              <w:t> </w:t>
            </w:r>
          </w:p>
        </w:tc>
        <w:tc>
          <w:tcPr>
            <w:tcW w:w="3440" w:type="dxa"/>
            <w:vAlign w:val="bottom"/>
            <w:gridSpan w:val="6"/>
          </w:tcPr>
          <w:p>
            <w:pPr>
              <w:spacing w:after="0" w:line="2" w:lineRule="exact"/>
              <w:rPr>
                <w:sz w:val="20"/>
                <w:szCs w:val="20"/>
                <w:color w:val="auto"/>
              </w:rPr>
            </w:pPr>
            <w:r>
              <w:rPr>
                <w:rFonts w:ascii="Times New Roman" w:cs="Times New Roman" w:eastAsia="Times New Roman" w:hAnsi="Times New Roman"/>
                <w:sz w:val="1"/>
                <w:szCs w:val="1"/>
                <w:color w:val="auto"/>
              </w:rPr>
              <w:t>      , 2026, through the book-entry facilities of</w:t>
            </w:r>
          </w:p>
        </w:tc>
        <w:tc>
          <w:tcPr>
            <w:tcW w:w="0" w:type="dxa"/>
            <w:vAlign w:val="bottom"/>
          </w:tcPr>
          <w:p>
            <w:pPr>
              <w:spacing w:after="0" w:line="20" w:lineRule="exact"/>
              <w:rPr>
                <w:sz w:val="1"/>
                <w:szCs w:val="1"/>
                <w:color w:val="auto"/>
              </w:rPr>
            </w:pPr>
          </w:p>
        </w:tc>
      </w:tr>
    </w:tbl>
    <w:p>
      <w:pPr>
        <w:ind w:left="800" w:right="760"/>
        <w:spacing w:after="0" w:line="258" w:lineRule="auto"/>
        <w:rPr>
          <w:sz w:val="20"/>
          <w:szCs w:val="20"/>
          <w:color w:val="auto"/>
        </w:rPr>
      </w:pPr>
      <w:r>
        <w:rPr>
          <w:rFonts w:ascii="Times New Roman" w:cs="Times New Roman" w:eastAsia="Times New Roman" w:hAnsi="Times New Roman"/>
          <w:sz w:val="18"/>
          <w:szCs w:val="18"/>
          <w:b w:val="1"/>
          <w:bCs w:val="1"/>
          <w:color w:val="auto"/>
        </w:rPr>
        <w:t>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222250</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240030</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J.P. Morgan</w:t>
      </w:r>
    </w:p>
    <w:p>
      <w:pPr>
        <w:sectPr>
          <w:pgSz w:w="11900" w:h="16838" w:orient="portrait"/>
          <w:cols w:equalWidth="0" w:num="1">
            <w:col w:w="11140"/>
          </w:cols>
          <w:pgMar w:left="320" w:top="225" w:right="439" w:bottom="1162" w:gutter="0" w:footer="0" w:header="0"/>
        </w:sectPr>
      </w:pP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2026.</w:t>
      </w:r>
    </w:p>
    <w:p>
      <w:pPr>
        <w:sectPr>
          <w:pgSz w:w="11900" w:h="16838" w:orient="portrait"/>
          <w:cols w:equalWidth="0" w:num="1">
            <w:col w:w="11140"/>
          </w:cols>
          <w:pgMar w:left="320" w:top="225" w:right="439" w:bottom="116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36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CERTAIN DOCUMENTS BY REFERENCE</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180" w:type="dxa"/>
            <w:vAlign w:val="bottom"/>
            <w:tcBorders>
              <w:top w:val="single" w:sz="8" w:color="0000EE"/>
            </w:tcBorders>
            <w:gridSpan w:val="2"/>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8"/>
          </w:tcPr>
          <w:p>
            <w:pPr>
              <w:spacing w:after="0"/>
              <w:rPr>
                <w:sz w:val="17"/>
                <w:szCs w:val="17"/>
                <w:color w:val="auto"/>
              </w:rPr>
            </w:pPr>
          </w:p>
        </w:tc>
        <w:tc>
          <w:tcPr>
            <w:tcW w:w="652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22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 TO NON-U.S. HOLDERS</w:t>
            </w:r>
          </w:p>
        </w:tc>
        <w:tc>
          <w:tcPr>
            <w:tcW w:w="296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4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61"/>
        </w:trPr>
        <w:tc>
          <w:tcPr>
            <w:tcW w:w="1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CERTAIN DOCUMENTS BY REFERENCE</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180" w:type="dxa"/>
            <w:vAlign w:val="bottom"/>
            <w:tcBorders>
              <w:top w:val="single" w:sz="8" w:color="0000EE"/>
            </w:tcBorders>
            <w:gridSpan w:val="2"/>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852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22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76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and supplements information contained in the accompanying prospectus and the documents incorporated by reference in this prospectus supplement and the accompanying prospectus. The second part is the accompanying prospectus, which describes more general information, some of which may not apply to this offering. You should read both this prospectus supplement and the accompanying prospectus, including the documents incorporated by reference herein and therein. If information in this prospectus supplement is inconsistent with the accompanying prospectus, this prospectus supplement will supersede the information in the accompanying prospectus.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supplement, the accompanying prospectus or in a document incorporated or deemed to be incorporated by reference in this prospectus supplement or in the accompanying prospectus will be deemed to be modified or superseded to the extent that a statement contained in this prospectus supplement or in any other document subsequently filed with the SEC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See “Where You Can Find More Information; Incorporation of Certain Documents by Reference.” 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supplement, the accompanying prospectus and any permitted free writing prospectus. None of the Company, any selling stockholder or any underwriter has authorized anyone to provide you with any different or additional information or to make any representations about information that is not contained or incorporated by reference in this prospectus supplement, any accompanying prospectus or in any free writing prospectus that we may provide you in connection with this offering. We, the selling stockholders and the underwriter do not take any responsibility for and can provide no assurance as to the reliability of any other information or representations that others may give you.</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None of the Company, any selling stockholder or any underwriter is making an offer to sell or soliciting offers to buy these securities in any jurisdiction where, or to any person to whom, the offer or sale is not permitted. The information contained or incorporated by reference in this prospectus supplement, the accompanying prospectus and any free writing prospectus that we may provide you in connection with this offering or other offering material filed by us with the SEC is accurate only as of the date of those documents or such information, regardless of the time of delivery of the documents or information or the time of any sale of the securities. Our business, financial condition, liquidity, results of operations and prospects may have changed since those dates.</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Unless stated otherwise or the context otherwise requires, the terms “we,” “us,” “our,” “our business,” “LifeStance” and “our Company” and similar references refer to LifeStance Health Group, Inc. and its consolidated subsidiaries and supported practices.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INVESTORS OUTSIDE THE UNITED STATES: NONE OF THE COMPANY, ANY SELLING STOCKHOLDER OR ANY UNDERWRITER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0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from which interested persons can electronically access our reports, proxy statements and other information regarding our Company.</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certain information that we have filed with the SEC, which means that we are disclosing important information to you by referring you to documents we have filed separately with the SEC. The documents incorporated by reference are considered part of this prospectus supplement. This prospectus supplement incorporates by reference the following (excluding any portions of such documents that have been or are deemed to have been “furnished” but not “filed” for purposes of the Securities Exchange Act of 1934, as amended (the “Exchange Act”)):</w:t>
      </w:r>
    </w:p>
    <w:p>
      <w:pPr>
        <w:spacing w:after="0" w:line="89" w:lineRule="exact"/>
        <w:rPr>
          <w:sz w:val="20"/>
          <w:szCs w:val="20"/>
          <w:color w:val="auto"/>
        </w:rPr>
      </w:pPr>
    </w:p>
    <w:p>
      <w:pPr>
        <w:ind w:left="1080" w:right="3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25, 2026 (our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 (our “Quarterly Report”);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7">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incorporated by reference into our Annual Report, filed with the SEC on April 22, 2026;</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8">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(except, with respect to the foregoing, for portions of such report which were deemed to be furnished and not filed), </w:t>
      </w:r>
      <w:hyperlink r:id="rId19">
        <w:r>
          <w:rPr>
            <w:rFonts w:ascii="Times New Roman" w:cs="Times New Roman" w:eastAsia="Times New Roman" w:hAnsi="Times New Roman"/>
            <w:sz w:val="18"/>
            <w:szCs w:val="18"/>
            <w:u w:val="single" w:color="auto"/>
            <w:color w:val="0000EE"/>
          </w:rPr>
          <w:t>March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(including the common stock) contained in </w:t>
      </w:r>
      <w:hyperlink r:id="rId2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incorporate by reference any filings made with the SEC in accordance with Sections 13(a), 13(c), 14 or 15(d) of the Exchange Act on or after the date of this prospectus supplement and before the date all of the securities offered hereby are sold or the offering is otherwise terminated, with the exception of any information that has been or is deemed to have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supplement from the respective dates of filing of those documents. Any statement contained in a document or report incorporated or deemed to be incorporated by reference herein shall be deemed to be modified or superseded for purposes of this prospectus supplement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194"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of the reports and documents referred to above that have been or will be incorporated by reference into this prospectus supplement. You should direct requests for those documents to:</w:t>
      </w:r>
    </w:p>
    <w:p>
      <w:pPr>
        <w:spacing w:after="0" w:line="1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4800 N. Scottsdale Road, Suite 2500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Scottsdale, Arizona 85251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investor.relations@lifestance.com</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maintain an internet site at www.lifestance.com. Our SEC filings are also available free of charge at our website. Our website and the information contained on, or accessible through, our website shall not be deemed to be incorporated into this prospectus supplement or the registration statement of which it forms a part.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0960"/>
          </w:cols>
          <w:pgMar w:left="320" w:top="455"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statements contained in this prospectus supplement or in our other documents that are incorporated by reference herein that are not purely historical are forward-looking statements within the meaning of Section 27A of the Securities Act of 1933, as amended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103" w:lineRule="exact"/>
        <w:rPr>
          <w:sz w:val="20"/>
          <w:szCs w:val="20"/>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reimbursement rates paid by third-party payors are reduced or if third-party payors otherwise restrain our ability to obtain or deliver care to patients, our business could be materially harmed;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imply future growth, including if we are unable to successfully execute on our growth initiatives and business strategies;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expenses could increase more than expected, our revenue may not increase proportionally or at all, and we may be unable to execute on our business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recruit, acquire and retain clinicians;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and financial performance would be harmed;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effectively invest in, implement improvements to and properly maintain the uninterrupted operation and data integrity of our information technology and other business systems;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spacing w:after="0" w:line="81" w:lineRule="exact"/>
        <w:rPr>
          <w:rFonts w:ascii="Times New Roman" w:cs="Times New Roman" w:eastAsia="Times New Roman" w:hAnsi="Times New Roman"/>
          <w:sz w:val="18"/>
          <w:szCs w:val="18"/>
          <w:color w:val="auto"/>
        </w:rPr>
      </w:pPr>
    </w:p>
    <w:p>
      <w:pPr>
        <w:ind w:left="1080" w:right="36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relationships with supported practices, which we do not own, to provide healthcare services, and our business would be harmed if those relationships were disrupted or if our arrangements with these entities became subject to legal challenges;</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adapt to healthcare reform legislation and other changes in the healthcare industry and in healthcare spending, our business could be harmed;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could adversely affect our business and growth prospects;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 in our Annual Report and Quarterly Report, as amended, revised or supplemented by subsequent filings with the SEC that have been or will be incorporated by reference herein.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supplement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appearing elsewhere or incorporated by reference in this prospectus supplement and the accompanying prospectus and may not contain all the information you should consider before investing in our common stock. You should carefully read this entire prospectus supplement, including the sections entitled “Risk Factors,” “Management’s Discussion and Analysis of Financial Condition and Results of Operations,” our consolidated financial statements and the related notes thereto in our Annual Report and Quarterly Report and the documents incorporated by reference herein, before deciding whether to invest in our common stock</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vision is a truly healthy society where mental and physical healthcare are unified to make lives better. Our mission is to help people lead healthier, more fulfilling lives by improving access to trusted, affordable and personalized mental healthcare. To fulfill this mission, we have built one of the nation’s largest outpatient mental health platforms based on the number of clinicians we employ through our subsidiaries and our supported practices and our geographic scale. We are dedicated to improving the lives of our patients by reimagining mental health through a tech-enabled in-person and virtual care delivery model built to expand access, address affordability, improve outcomes and lower overall healthcare costs. We combine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employed 8,349 licensed mental health clinicians through our subsidiaries and supported practices in 33 states as of March 31, 2026. Our clinicians offer patients a comprehensive, multidisciplinary suite of mental health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Patients can receive care virtually through our online delivery platform or in-person at one of our conveniently located centers. Through our payor relationships, including national contracts with multiple payors, patients can utilize their in-network benefits when they receive care from one of our clinicians, enhancing access and affordability.</w:t>
      </w: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On January 28, 2021, LifeStance Health Group, Inc. was incorporated in the state of Delaware. Our principal executive office is located at 4800 N. Scottsdale Road, Suite 2500, Scottsdale, Arizona 85251.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“LFST.”</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229"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purchase from the underwriter 6,000,000 shares of our common stock that are subject to this offering having an aggregate value of approximately</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04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        at a price per share equal to the price at which the underwriter is purchasing the shares from the selling stockholders in this offering. The terms and conditions of the Share Repurchase were reviewed and approved by a committee consisting of disinterested members of our Board of Directors. We intend to fund the Share Repurchase with cash on hand. The Share Repurchase will be completed under our previously announced share repurchase program, which does not obligate us to acquire any particular amount of common stock, has no end date, and may be modified, suspended or discontinued at any time.</w:t>
      </w:r>
    </w:p>
    <w:p>
      <w:pPr>
        <w:spacing w:after="0" w:line="183"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Following the closing of the Share Repurchase, we intend to retire the shares we purchase from the underwriter, and those shares of common stock will no longer be outstanding.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underwriter will not receive any compensation for the shares of common stock being repurchased by us. See “Underwriting.”</w:t>
      </w:r>
    </w:p>
    <w:p>
      <w:pPr>
        <w:spacing w:after="0" w:line="225"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offering is not conditioned upon the completion of the Share Repurchase. However, the completion of the Share Repurchase is contingent on the closing of this offering, and therefore the Share Repurchase will not be consummated unless and until the closing of this offering occurs.</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Share Repurchase are included in this prospectus supplement solely for informational purposes. Nothing in this prospectus supplement should be construed as an offer to sell, or the solicitation of an offer to buy, any shares of the common stock subject to the Share Repurchase.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6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the selling stockholders:</w:t>
      </w:r>
      <w:r>
        <w:rPr>
          <w:sz w:val="20"/>
          <w:szCs w:val="20"/>
          <w:color w:val="auto"/>
        </w:rPr>
        <w:tab/>
      </w:r>
      <w:r>
        <w:rPr>
          <w:rFonts w:ascii="Times New Roman" w:cs="Times New Roman" w:eastAsia="Times New Roman" w:hAnsi="Times New Roman"/>
          <w:sz w:val="17"/>
          <w:szCs w:val="17"/>
          <w:color w:val="auto"/>
        </w:rPr>
        <w:t>35,000,000 shares of common stock.</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Common stock to be outstanding after this offering and 381,834,432 shares of common stock (taking into consideration the repurchase by us of</w:t>
      </w:r>
    </w:p>
    <w:p>
      <w:pPr>
        <w:spacing w:after="0" w:line="27" w:lineRule="exact"/>
        <w:rPr>
          <w:sz w:val="20"/>
          <w:szCs w:val="20"/>
          <w:color w:val="auto"/>
        </w:rPr>
      </w:pPr>
    </w:p>
    <w:p>
      <w:pPr>
        <w:ind w:left="4340" w:hanging="3955"/>
        <w:spacing w:after="0" w:line="260" w:lineRule="auto"/>
        <w:tabs>
          <w:tab w:leader="none" w:pos="4320" w:val="left"/>
        </w:tabs>
        <w:rPr>
          <w:sz w:val="20"/>
          <w:szCs w:val="20"/>
          <w:color w:val="auto"/>
        </w:rPr>
      </w:pPr>
      <w:r>
        <w:rPr>
          <w:rFonts w:ascii="Times New Roman" w:cs="Times New Roman" w:eastAsia="Times New Roman" w:hAnsi="Times New Roman"/>
          <w:sz w:val="18"/>
          <w:szCs w:val="18"/>
          <w:color w:val="auto"/>
        </w:rPr>
        <w:t>the Share Repurchase:</w:t>
      </w:r>
      <w:r>
        <w:rPr>
          <w:sz w:val="20"/>
          <w:szCs w:val="20"/>
          <w:color w:val="auto"/>
        </w:rPr>
        <w:tab/>
      </w:r>
      <w:r>
        <w:rPr>
          <w:rFonts w:ascii="Times New Roman" w:cs="Times New Roman" w:eastAsia="Times New Roman" w:hAnsi="Times New Roman"/>
          <w:sz w:val="18"/>
          <w:szCs w:val="18"/>
          <w:color w:val="auto"/>
        </w:rPr>
        <w:t>6,000,000 shares of our common stock from the selling stockholders in connection with the Share Repurchase).</w:t>
      </w:r>
    </w:p>
    <w:p>
      <w:pPr>
        <w:sectPr>
          <w:pgSz w:w="11900" w:h="16838" w:orient="portrait"/>
          <w:cols w:equalWidth="0" w:num="1">
            <w:col w:w="10920"/>
          </w:cols>
          <w:pgMar w:left="320" w:top="455" w:right="659" w:bottom="1440" w:gutter="0" w:footer="0" w:header="0"/>
        </w:sect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 Repurchase: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completion of this offering, we have agreed to repurchase 6,000,000 shares of our common stock from the underwriter having an aggregate value of approximately $        at a price per share equal to the price paid by the underwriter to the selling stockholders in this offering. The Share Repurchase was reviewed and approved by a committee of disinterested members of our Board of Directors. We intend to fund the Share Repurchase with cash on hand. See “—Share Repurchase” above.</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common stock in this offering. We will not receive any proceeds from the sale of shares of common stock by the selling stockholders. See “Use of Proceeds.”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information set forth herein under “Risk Factors” and the other information included or incorporated by reference in this prospectus supplement, including the “Risk Factors” in our Annual Report, before deciding whether to purchase shares of common stock.</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“LFST”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as set forth above is based on 387,834,432 shares of common stock as of April 29, 2026, and except as otherwise indicated excludes:</w:t>
      </w:r>
    </w:p>
    <w:p>
      <w:pPr>
        <w:spacing w:after="0" w:line="67" w:lineRule="exact"/>
        <w:rPr>
          <w:sz w:val="20"/>
          <w:szCs w:val="20"/>
          <w:color w:val="auto"/>
        </w:rPr>
      </w:pPr>
    </w:p>
    <w:p>
      <w:pPr>
        <w:ind w:left="1240" w:right="5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19,758,144 shares of our common stock issuable upon the vesting of our restricted stock units outstanding under the LifeStance Health Group, Inc. 2021 Equity Incentive Plan (the “2021 Plan”);</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13,475,901 shares of our common stock issuable upon the exercise of options outstanding under the 2021 Plan with a weighted average exercise price of $7.42;</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81,333,583 shares of our common stock reserved for issuance under the 2021 Plan; and</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25,816,936 shares of our common stock reserved for issuance under the LifeStance Health Group, Inc. 2021 Employee Stock Purchase Plan.</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risks. You should carefully review the risk factors and other cautionary statements described under the section entitled “Risk Factors” in our Annual Report, which is incorporated by reference in this prospectus supplement, and any similar caption in the documents that we subsequently file with the SEC that are deemed to be incorporated by reference in this prospectus supplement, and in any free writing prospectus that we provide you in connection with this offering. The risks and uncertainties discussed in the documents referred to above, as well as other matters discussed in this prospectus supplement and in those documents, could materially and adversely affect our business, financial condition, liquidity, results of operations, prospects and the market price of the common stock. Moreover, the risks and uncertainties discussed in the foregoing documents are not the only risks and uncertainties that we face, and our business, financial condition, liquidity, results of operations, prospects and the market price of the common stock could be materially adversely affected by other matters that are not known to us or that we currently do not consider to be material risks to our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issuance of securities senior to our common stock could adversely affect the trading price of our common stock and our ability to raise funds in new stock offerings.</w:t>
      </w:r>
    </w:p>
    <w:p>
      <w:pPr>
        <w:spacing w:after="0" w:line="15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 In addition, the selling stockholders and certain other stockholders have certain registration rights that require us to register the sale of common stock held by them, including in connection with underwritten offerings.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fluctuate significantly, which could negatively affect us and holders of our common stock.</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is volatile and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shares of our common stock sold in this offering will be sold by the selling stockholders. We will not receive any proceeds from the sale of shares of common stock by the selling stockholders. We have agreed to pay certain expenses related to this offering, other than underwriting discounts and commissions that will be borne by the selling stockholders.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tables show information as of April 29, 2026, regarding the beneficial ownership of our common stock by the selling stockholders and information with respect to the shares of common stock to be beneficially owned by the selling stockholders after the completion of this offering, including the Share Repurchase. The percentages of shares outstanding provided in the table are based on a total of 387,834,432 shares of common stock outstanding on April 29, 2026. The number of shares and percentages of beneficial ownership after this offering and the Share Repurchase set forth below are based on the number of shares of our common stock issued and outstanding immediately after the completion of this offering and the Share Repurchase assuming the selling stockholders sell 35,000,000 shares of common stock offered by this prospectus supplement, and assuming that the Share Repurchase of 6,000,000 shares is consummated shortly after completion of this offering.</w:t>
      </w:r>
    </w:p>
    <w:p>
      <w:pPr>
        <w:spacing w:after="0" w:line="189"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which generally includes any shares over which a person exercises sole or shared voting and/or investment power. A person is also deemed to be a beneficial owner of a security if that person has the right to acquire beneficial ownership of such security within 60 days. Except as otherwise indicated by the footnotes, the entities named in the table below have sole voting and investment power with respect to all shares of common stock held by the respective entity.</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500" w:type="dxa"/>
            <w:vAlign w:val="bottom"/>
            <w:gridSpan w:val="4"/>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2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After this Offering and the</w:t>
            </w:r>
          </w:p>
        </w:tc>
        <w:tc>
          <w:tcPr>
            <w:tcW w:w="0" w:type="dxa"/>
            <w:vAlign w:val="bottom"/>
          </w:tcPr>
          <w:p>
            <w:pPr>
              <w:spacing w:after="0"/>
              <w:rPr>
                <w:sz w:val="1"/>
                <w:szCs w:val="1"/>
                <w:color w:val="auto"/>
              </w:rPr>
            </w:pPr>
          </w:p>
        </w:tc>
      </w:tr>
      <w:tr>
        <w:trPr>
          <w:trHeight w:val="162"/>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60" w:type="dxa"/>
            <w:vAlign w:val="bottom"/>
            <w:vMerge w:val="restart"/>
          </w:tcPr>
          <w:p>
            <w:pPr>
              <w:spacing w:after="0"/>
              <w:rPr>
                <w:sz w:val="14"/>
                <w:szCs w:val="14"/>
                <w:color w:val="auto"/>
              </w:rPr>
            </w:pPr>
          </w:p>
        </w:tc>
        <w:tc>
          <w:tcPr>
            <w:tcW w:w="250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Before this Offering</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2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 Repurchase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33"/>
        </w:trPr>
        <w:tc>
          <w:tcPr>
            <w:tcW w:w="1620" w:type="dxa"/>
            <w:vAlign w:val="bottom"/>
            <w:tcBorders>
              <w:bottom w:val="single" w:sz="8" w:color="auto"/>
            </w:tcBorders>
            <w:vMerge w:val="continue"/>
          </w:tcPr>
          <w:p>
            <w:pPr>
              <w:spacing w:after="0"/>
              <w:rPr>
                <w:sz w:val="11"/>
                <w:szCs w:val="11"/>
                <w:color w:val="auto"/>
              </w:rPr>
            </w:pPr>
          </w:p>
        </w:tc>
        <w:tc>
          <w:tcPr>
            <w:tcW w:w="3460" w:type="dxa"/>
            <w:vAlign w:val="bottom"/>
            <w:vMerge w:val="continue"/>
          </w:tcPr>
          <w:p>
            <w:pPr>
              <w:spacing w:after="0"/>
              <w:rPr>
                <w:sz w:val="11"/>
                <w:szCs w:val="11"/>
                <w:color w:val="auto"/>
              </w:rPr>
            </w:pPr>
          </w:p>
        </w:tc>
        <w:tc>
          <w:tcPr>
            <w:tcW w:w="132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Pr>
          <w:p>
            <w:pPr>
              <w:spacing w:after="0"/>
              <w:rPr>
                <w:sz w:val="11"/>
                <w:szCs w:val="11"/>
                <w:color w:val="auto"/>
              </w:rPr>
            </w:pPr>
          </w:p>
        </w:tc>
        <w:tc>
          <w:tcPr>
            <w:tcW w:w="124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Hereby</w:t>
            </w:r>
          </w:p>
        </w:tc>
        <w:tc>
          <w:tcPr>
            <w:tcW w:w="130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TPG VIII Lynnwood Holdings Aggregation, L.P.</w:t>
            </w:r>
            <w:r>
              <w:rPr>
                <w:rFonts w:ascii="Times New Roman" w:cs="Times New Roman" w:eastAsia="Times New Roman" w:hAnsi="Times New Roman"/>
                <w:sz w:val="25"/>
                <w:szCs w:val="25"/>
                <w:color w:val="auto"/>
                <w:vertAlign w:val="superscript"/>
              </w:rPr>
              <w:t>(2)</w:t>
            </w: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140,026,557</w:t>
            </w:r>
          </w:p>
        </w:tc>
        <w:tc>
          <w:tcPr>
            <w:tcW w:w="36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36.1%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28,281,943</w:t>
            </w:r>
          </w:p>
        </w:tc>
        <w:tc>
          <w:tcPr>
            <w:tcW w:w="38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111,744,614</w:t>
            </w:r>
          </w:p>
        </w:tc>
        <w:tc>
          <w:tcPr>
            <w:tcW w:w="3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Summit Partners and its affiliates</w:t>
            </w:r>
            <w:r>
              <w:rPr>
                <w:rFonts w:ascii="Times New Roman" w:cs="Times New Roman" w:eastAsia="Times New Roman" w:hAnsi="Times New Roman"/>
                <w:sz w:val="25"/>
                <w:szCs w:val="25"/>
                <w:color w:val="auto"/>
                <w:vertAlign w:val="superscript"/>
              </w:rPr>
              <w:t>(3)</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29,209,776</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5,899,661</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23,310,115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Shama LLC</w:t>
            </w:r>
            <w:r>
              <w:rPr>
                <w:rFonts w:ascii="Times New Roman" w:cs="Times New Roman" w:eastAsia="Times New Roman" w:hAnsi="Times New Roman"/>
                <w:sz w:val="25"/>
                <w:szCs w:val="25"/>
                <w:color w:val="auto"/>
                <w:vertAlign w:val="superscript"/>
              </w:rPr>
              <w:t>(4)</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1,391,246</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287,517</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1,103,729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Vitthal LLC</w:t>
            </w:r>
            <w:r>
              <w:rPr>
                <w:rFonts w:ascii="Times New Roman" w:cs="Times New Roman" w:eastAsia="Times New Roman" w:hAnsi="Times New Roman"/>
                <w:sz w:val="25"/>
                <w:szCs w:val="25"/>
                <w:color w:val="auto"/>
                <w:vertAlign w:val="superscript"/>
              </w:rPr>
              <w:t>(5)</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1,274,448</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287,517</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986,931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Shuey Gift Trust</w:t>
            </w:r>
            <w:r>
              <w:rPr>
                <w:rFonts w:ascii="Times New Roman" w:cs="Times New Roman" w:eastAsia="Times New Roman" w:hAnsi="Times New Roman"/>
                <w:sz w:val="25"/>
                <w:szCs w:val="25"/>
                <w:color w:val="auto"/>
                <w:vertAlign w:val="superscript"/>
              </w:rPr>
              <w:t>(6)</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1,110,924</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243,362</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867,562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repurchase by us from the underwriter of 6,000,000 shares.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VIII Lynnwood Holdings Aggregation, L.P., a Delaware limited partnership, directly holds 140,026,557 shares of common stock. The general partner of TPG VIII Lynnwood Holdings Aggregation, L.P. is TPG GenPar VIII, L.P., a Delaware limited partnership, whose general partner is TPG GenPar VIII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over whose shares of Class B common stock (which represent a majority of the combined voting power of the common stock) TPG GP A, LLC, a Delaware limited liability company, exercises direct or indirect control. TPG GP A, LLC is controlled by entities owned by James G. Coulter and Jon Winkelried. Messrs. Coulter and Winkelried disclaim beneficial ownership of the securities held by TPG VIII Lynnwood Holdings Aggregation, L.P., except to the extent of their pecuniary interest therein, if any. The address of each of TPG GP A, LLC and Messrs. Coulter and Winkelried is c/o TPG Inc., 301 Commerce Street, Suite 3300, Fort Worth, Texas 76102.</w:t>
      </w:r>
    </w:p>
    <w:p>
      <w:pPr>
        <w:spacing w:after="0" w:line="4"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Summit Partners, L.P. has shared voting and dispositive power with respect to 29,209,776 shares, Summit Partners Growth Equity Fund IX-A, L.P. has shared voting and dispositive power with respect to 17,886,858 shares, Summit Partners Growth Equity Fund IX-B, L.P. has shared voting and dispositive power with respect to 11,168,308 shares, Summit Investors GE IX/VC IV (UK), L.P. has shared voting and dispositive power with respect to 13,062 shares, Summit Partners Entrepreneur Advisors Fund II, L.P. has shared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voting and dispositive power with respect to 16,691 shares, and Summit Investors GE IX/VC IV, LLC has shared voting and dispositive power with respect to 124,857 shares. In this offering: (a) Summit Partners Growth Equity Fund IX-A, L.P. will sell 3,612,708 shares; (b) Summit Partners Growth Equity Fund IX-B, L.P. will sell 2,255,726 shares; (c) Summit Investors GE IX/VC IV, LLC will sell 25,218 shares; (d) Summit Partners Entrepreneur Advisors Fund II, L.P. will sell 3,371 shares; and (e) Summit Investors GE IX/VC IV (UK), L.P. will sell 2,638 shares. The principal business address of the foregoing persons is 222 Berkeley Street, 18th Floor, Boston, MA 02116.</w:t>
      </w:r>
    </w:p>
    <w:p>
      <w:pPr>
        <w:spacing w:after="0" w:line="3" w:lineRule="exact"/>
        <w:rPr>
          <w:sz w:val="20"/>
          <w:szCs w:val="20"/>
          <w:color w:val="auto"/>
        </w:rPr>
      </w:pPr>
    </w:p>
    <w:p>
      <w:pPr>
        <w:ind w:left="5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Shama LLC may be deemed to be beneficially owned by Robert Bessler, a director of the Company. The address for Shama LLC is c/o LifeStance Health Group, Inc., 4800 N. Scottsdale Road, Suite 2500, Scottsdale, Arizona 85251.</w:t>
      </w:r>
    </w:p>
    <w:p>
      <w:pPr>
        <w:ind w:left="5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Vitthal LLC may be deemed to be beneficially owned by Robert Bessler, a director of the Company. The address for Vitthal LLC is c/o LifeStance Health Group, Inc., 4800 N. Scottsdale Road, Suite 2500, Scottsdale, Arizona 85251.</w:t>
      </w:r>
    </w:p>
    <w:p>
      <w:pPr>
        <w:ind w:left="540" w:right="14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the Eric Shuey Gift Trust may be deemed to be beneficially owned by Eric Shuey, a director of the Company. The address for the Eric Shuey Gift Trust is c/o LifeStance Health Group, Inc., 4800 N. Scottsdale Road, Suite 2500, Scottsdale, Arizona 85251.</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NON-U.S. HOLDERS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and estate tax consequences of the ownership and disposition of shares of our common stock as of the date hereof. Except where noted, this summary deals only with common stock that is held as a capital asset by a non-U.S. holder (as defined below).</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summary is based upon provisions of the U.S. Internal Revenue Code of 1986, as amended (the “Code”), and regulations, rulings and judicial decisions as of the date hereof. Those authorities may be changed, perhaps retroactively, so as to result in U.S. federal income and estate tax consequences different from those summarized below. This summary does not address all aspects of U.S. federal income and estate taxes and does not deal with non-U.S.,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shares of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concerning the particular U.S. federal income and estate tax consequences to you of the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common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shares of our common stock, the excess will be treated as gain from the disposition of shares of our common stock (the tax treatment of which is discussed below under “—Gain on Disposition of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subject to the discussion of FATCA (as defined herein) below under “—Additional Withholding Requirements.” However, dividends that are effectively connected with the conduct of a trade or business by the non-U.S. holder within the United States (and, if required by an applicable income tax treaty, are attributable to a U.S. permanent establishment or fixed base)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(as defined herein), any gain realized by a non-U.S. holder on the sale or other disposition of our common stock generally will not be subject to U.S. federal income tax unless:</w:t>
      </w:r>
    </w:p>
    <w:p>
      <w:pPr>
        <w:spacing w:after="0" w:line="67" w:lineRule="exact"/>
        <w:rPr>
          <w:sz w:val="20"/>
          <w:szCs w:val="20"/>
          <w:color w:val="auto"/>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that disposition or the period that the non-U.S. holder held our common stock, and, in the case where our common stock is considered regularly traded on an established securities market for this purpose, the non-U.S. holder has owned, directly or constructively, more than 5% of our common stock at any time within such period. There can be no assurance that our common stock will be treated as regularly traded on an established securities market for this purpose.</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 situation in the first bullet point or the third bullet point immediately above, a non-U.S. holder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realized in the same year even though the individual is not considered a resident of the United States.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Information Reporting and Backup Withholding.</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J.P. Morgan Securities LLC is acting as the underwriter in this offering. We and the selling stockholders have entered into an underwriting agreement with the underwriter. Subject to the terms and conditions of the underwriting agreement, the selling stockholders have agreed to sell to the underwriter, and the underwriter has agreed to purchase, at a price of $        , the number of shares of common stock listed next to its name in the following table:</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60" w:type="dxa"/>
            <w:vAlign w:val="bottom"/>
          </w:tcPr>
          <w:p>
            <w:pPr>
              <w:spacing w:after="0"/>
              <w:rPr>
                <w:sz w:val="19"/>
                <w:szCs w:val="19"/>
                <w:color w:val="auto"/>
              </w:rPr>
            </w:pPr>
          </w:p>
        </w:tc>
      </w:tr>
    </w:tbl>
    <w:p>
      <w:pPr>
        <w:spacing w:after="0" w:line="19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underwriter is committed to purchase all the shares of common stock offered by the selling stockholders if it purchases any shares. The underwriting agreement also provides that if the underwriter defaults the offering may be terminated.</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 proposes to offer the shares of common stock directly to the public at the public offering price set forth on the cover page of this prospectus supplement. After the initial offering of the shares to the public, if all of the shares of common stock are not sold at the public offering price, the underwriter may change the offering price and the other selling terms. Sales of any shares made outside of the United States may be made by affiliates of the underwriter. The offering of the shares by the underwriter is subject to receipt and acceptance and subject to the underwriter’s right to reject any order in whole or in part.</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Offering</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Stockholders</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(Before Expenses)</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$500,000. We have agreed to reimburse the underwriter for expenses relating to the clearance of this offering with the FINRA up to $15,000.</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 maintained by the underwriter. The underwriter may agree to allocate a number of shares to underwriters and selling group members for sale to their online brokerage account holders. Internet distributions will be allocated by the underwriter to underwriters and selling group members that may make Internet distributions on the same basis as other allocations.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all of our directors and officers and the selling stockholders have agreed that, without the prior written consent of the underwriter, we and they will not, and will not publicly disclose an intention to, during the period ending 75 days after the date of this prospectus supplement (the “Restricted Period”):</w:t>
      </w:r>
    </w:p>
    <w:p>
      <w:pPr>
        <w:spacing w:after="0" w:line="81" w:lineRule="exact"/>
        <w:rPr>
          <w:sz w:val="20"/>
          <w:szCs w:val="20"/>
          <w:color w:val="auto"/>
        </w:rPr>
      </w:pPr>
    </w:p>
    <w:p>
      <w:pPr>
        <w:ind w:left="1080" w:right="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any common stock (such securities, together with the common stock, the “Restricted Securities”);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any Restricted Securities;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Restricted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 we or such other person will not, during the Restricted Period, make any demand for, or exercise any right with respect to, the registration of any Restricted Securities; provided that, to the extent such person has demand and/or piggyback registration rights, the foregoing shall not prohibit such person from notifying us privately that it is or will be exercising its demand and/or piggyback registration rights following the expiration of the Restricted Period and undertaking any preparations related thereto.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(the “Lock-Up Restrictions”) do not apply to:</w:t>
      </w:r>
    </w:p>
    <w:p>
      <w:pPr>
        <w:spacing w:after="0" w:line="131"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Restricted Securities acquired in open market transactions after the completion of this offering;</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Restricted Securities as a bona fide gift or to a charitable organization or non-profit educational institution in a transaction not involving a disposition of value;</w:t>
      </w:r>
    </w:p>
    <w:p>
      <w:pPr>
        <w:spacing w:after="0" w:line="67"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Restricted Securities (i) as a result of the operation of law through estate, other testamentary document or intestate succession, (ii) to any immediate family member of the lock-up party or any trust for the direct or indirect benefit of the lock-up party or any immediate family member of the lock-up party, (iii) pursuant to a court order, qualified domestic order or in connection with a divorce settlement; provided that such Restricted Securities remain subject to the Lock-Up Restrictions, and, in the case of transfers under the foregoing clause (iii) only, if the lock-up party is required to file a report under Section 16(a) of the Exchange Act reporting a reduction in beneficial ownership of shares of common stock during the Restricted Period, the lock-up party shall include a statement in such report to the effect that such transfer occurred by operation of law or pursuant to a court order, qualified domestic order or in connection with a divorce settlement, as applicable; provided further, that no other public announcement or filing related to such transfer shall be required or shall be voluntarily made during the Restricted Period;</w:t>
      </w:r>
    </w:p>
    <w:p>
      <w:pPr>
        <w:spacing w:after="0" w:line="93"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Restricted Securities to limited partners, members, nominees, stockholders or holders of similar equity interests in the lock-up party not involving a disposition for value;</w:t>
      </w:r>
    </w:p>
    <w:p>
      <w:pPr>
        <w:spacing w:after="0" w:line="6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Restricted Securities to a corporation, partnership, limited liability company, investment fund or other entity that directly, or indirectly through one or more intermediaries, controls or is controlled by, or is under common control with, the lock-up party, or is wholly owned by the lock-up party and/or by members of the immediate family of the lock-up party, or, in the case of an investment fund, that is managed by, or is under common management with, the lock-up party; provided that if the lock-up party is required to file a report under Section 16(a) of the Exchange Act during the Restricted Period, the lock-up party shall include a statement in any such report regarding the circumstances of the transfer;</w:t>
      </w:r>
    </w:p>
    <w:p>
      <w:pPr>
        <w:spacing w:after="0" w:line="92"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exercise or settlement of stock options, restricted stock units or other equity awards pursuant to any plan or agreement granting such an award to our or our affiliates’ employees or other service providers as described in the registration statement on Form S-3 or any prospectus or preliminary prospectus related to this offering (including in filings with the SEC that are incorporated by reference herein); provided that any remaining shares of common stock received upon such exercise or settlement will be subject to the Lock-Up Restrictions; and provided further that if the lock-up party is required to file a report under Section 16(a) of the Exchange Act during the Restricted Period, the lock-up party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us;</w:t>
      </w:r>
    </w:p>
    <w:p>
      <w:pPr>
        <w:spacing w:after="0" w:line="9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us upon our exercise of our right to repurchase or reacquire the lock-up party’s Restricted Securities in the event the lock-up party ceases to provide services to us pursuant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58" w:lineRule="auto"/>
        <w:rPr>
          <w:sz w:val="20"/>
          <w:szCs w:val="20"/>
          <w:color w:val="auto"/>
        </w:rPr>
      </w:pPr>
      <w:r>
        <w:rPr>
          <w:rFonts w:ascii="Times New Roman" w:cs="Times New Roman" w:eastAsia="Times New Roman" w:hAnsi="Times New Roman"/>
          <w:sz w:val="18"/>
          <w:szCs w:val="18"/>
          <w:color w:val="auto"/>
        </w:rPr>
        <w:t>agreements in effect on the date of and as described in the registration statement on Form S-3 or the prospectus related to this offering (including in filings with the SEC that are incorporated by reference herein), that permit us to repurchase or reacquire, at cost, such securities upon termination of the lock up party’s services to us or our affiliates; provided that any filing under Section 16(a) of the Exchange Act relating to such disposition shall clearly indicate in the footnotes thereto that the Restricted Securities were repurchased or reacquired by us;</w:t>
      </w:r>
    </w:p>
    <w:p>
      <w:pPr>
        <w:spacing w:after="0" w:line="89" w:lineRule="exact"/>
        <w:rPr>
          <w:sz w:val="20"/>
          <w:szCs w:val="20"/>
          <w:color w:val="auto"/>
        </w:rPr>
      </w:pPr>
    </w:p>
    <w:p>
      <w:pPr>
        <w:ind w:left="1080" w:right="60" w:hanging="532"/>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pursuant to a bona fide third party tender offer, merger, consolidation or other similar transaction made to all holders of common stock involving a “change of control” (as defined below) of us that occurs after the consummation of this offering, is open to all holders of our capital stock and has been approved by our board of directors; provided, that if such change of control is not consummated, such shares shall remain subject to the Lock-Up Restrictions (for the purposes of this exception, a “change of control” is defined as any bona fide third party tender offer, merger, consolidation or other similar transaction the result of which is that any “person” (as defined in Section 13(d)(3) of the Exchange Act), or group of persons, other than us, becomes or would become the beneficial owner (as defined in Rules 13d-3 and 13d-5 of the Exchange Act) of 50% or more of the total voting power of the voting stock of us or the surviving entity);</w:t>
      </w:r>
    </w:p>
    <w:p>
      <w:pPr>
        <w:spacing w:after="0" w:line="9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our bylaws, corporate policies and applicable laws, the establishment of a trading plan on behalf of any of our stockholders, officers or directors pursuant to Rule 10b5-1 under the Exchange Act for the transfer of shares of common stock (a “10b5-1 Plan”), provided that (i) such plan does not provide for the transfer of shares of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shares of common stock may be made under such plan during the Restricted Period;</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of common stock pursuant to a 10b5-1 Plan in effect as of the date hereof (an “Existing Plan”), provided that</w:t>
      </w:r>
    </w:p>
    <w:p>
      <w:pPr>
        <w:spacing w:after="0" w:line="27" w:lineRule="exact"/>
        <w:rPr>
          <w:rFonts w:ascii="Times New Roman" w:cs="Times New Roman" w:eastAsia="Times New Roman" w:hAnsi="Times New Roman"/>
          <w:sz w:val="18"/>
          <w:szCs w:val="18"/>
          <w:color w:val="auto"/>
        </w:rPr>
      </w:pPr>
    </w:p>
    <w:p>
      <w:pPr>
        <w:ind w:left="10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Existing Plan will note be amended or otherwise modified to increase the shares of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w:t>
      </w:r>
    </w:p>
    <w:p>
      <w:pPr>
        <w:spacing w:after="0" w:line="89"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to any third-party pledgee in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such pledge shall provide that the underlying Restricted Securities may not be transferred to the pledgee until the expiration of the Restricted Period; and</w:t>
      </w:r>
    </w:p>
    <w:p>
      <w:pPr>
        <w:spacing w:after="0" w:line="9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by the selling stockholders to the underwriter in connection with this offering;</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provided that in the case of any gift, transfer, distribution or pledge pursuant to clause (b), (c), (d), (e) or (k), each donee, transferee, distributee or pledgee, as applicable, shall sign and deliver a lock-up agreement substantially in the form thereof attached to the underwriting agreement.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Lock-Up Restrictions also do not apply to us with respect to certain transactions, including (A) the issuance by us of common stock upon the exercise of an option or warrant or the conversion of a security outstanding on the date of this prospectus supplement, (B) facilitating the establishment of a trading plan on behalf of a shareholder, officer or director of our Company pursuant to Rule 10b5-1 under the Exchange Act for the transfer of shares of common stock, provided that (i) such plan does not provide for the transfer of common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(C) the grant by us of awards under equity incentive plans (including employee stock purchase plans) or other similar arrangements (D) the filing of a registration statement on Form S-8 (or the equivalent form) with the SEC in connection with an employee stock compensation plan or agreement of our Company and (E) the issuance of shares of common stock or other securities (including securities convertible into shares of common stock) in connection with the acquisition by us or any of our subsidiaries of the securities, businesses, joint ventures, products or technologies, properties or other assets of another person or entity or pursuant to any equity incentive plan or arrangement, or any employee benefit plan, assumed by us in connection with any such transaction (or any equity incentive plan or arrangement, or any employee benefit plan, to the extent used to issue awards, substitute awards or securities related to any such transaction); provided that the aggregate amount of Restricted Securities (on an as converted, as exercised or as exchanged basis) that we may sell or issue or agree to sell or issue pursuant to clause (D) shall not exceed 10% of the total number of shares of our common stock issued and outstanding immediately following the completion of the transactions contemplated by the underwriting agreement determined on a fully diluted basis.</w:t>
      </w:r>
    </w:p>
    <w:p>
      <w:pPr>
        <w:spacing w:after="0" w:line="19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underwriter, in its sole discretion, may release the common stock and other securities subject to the lock-up agreements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“LFST.”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w:t>
      </w:r>
    </w:p>
    <w:p>
      <w:pPr>
        <w:spacing w:after="0" w:line="225"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expect to deliver the shares against payment for the shares on or about the date specified in the last paragraph of the cover page of this prospectus supplement, which will be the         business day following the date of this prospectus supplement. Under Rule</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15c6-1 of the Securities Exchange Act, trades in the secondary market generally are required to settle in one business day, unless the parties to a trade expressly agree otherwise. Accordingly, purchasers who wish to trade the shares prior to the business day preceding the settlement date will be required, by virtue of the fact that the shares initially will settle in T+  , to specify alternative settlement arrangements to prevent a failed settlement. Purchasers of shares who wish to trade the shares prior to the business day preceding the settlement date should consult their own advisors.</w:t>
      </w:r>
    </w:p>
    <w:p>
      <w:pPr>
        <w:spacing w:after="0" w:line="189"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 of a greater number of shares than it is required to purchase in the offering, and a short position represents the amount of such sales that have not been covered by subsequent purchases. Given the underwriter does not have an option to purchase additional shares from us or from the selling stockholders, all such short sales are “naked” short sales. As a result, the underwriter must cover any short positions by purchasing shares in the open market. A short position is more likely to be created if the underwriter is concerned that there may be downward pressure on the price of the common stock.</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of the Securities Act, it may also engage in other activities that stabilize, maintain or otherwise affect the price of the common stock, including the imposition of penalty bids. This means that if the underwriter purchases common stock in the open market in stabilizing transactions or to cover short sales, the underwriter that sold those shares as part of this offering may be required to repay the underwriting discount received by them. These activities may have the effect of raising or maintaining the market price of the common stock or preventing or retarding a decline in the market price of the common stock, and as a result, the price of the common stock may be higher than the price that otherwise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might exist in the open market. If the underwriter commences these activities, it may discontinue them at any time. The underwriter may carry out these transactions on Nasdaq, in the over-the-counter market or otherwise.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us and to persons and entities with relationships with us, for which they received or will receive customary fees and expenses.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our shares of common stock may be made to the public in that Relevant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the shares of common stock shall require us or the underwriter to publish a prospectus pursuant to Article 3 of the Prospectus Regulation or supplement a prospectus pursuant to Article 23 of the Prospectus Regulation and each person in a Relevant State who initially acquires our shares of common stock or to whom any offer is made will be deemed to have represented, acknowledged and agreed to and with the underwriter and the Company that it is a “qualified investor” within the meaning of Article 2(e) of the Prospectus Regulation. In the case of the shares of common stock being offered to a financial intermediary as that term is used in the Prospectus Regulation, each such financial intermediary will be deemed to have represented, acknowledged and agreed that the shares of common stock acquired by it in the offer have not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been acquired on a non-discretionary basis on behalf of, nor have they been acquired with a view to their offer or resale to, persons in circumstances which may give rise to an offer of the shares of common stock to the public other than their offer or resale in a Relevant State to qualified investors as so defined or in circumstances in which the prior consent of the underwriter has been obtained to each such proposed offer or resale.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any Relevant State means the communication in any form and by any means of sufficient information on the terms of the offer and the shares of common stock to be offered so as to enable an investor to decide to purchase or subscribe for the shares of common stock, and the expression “Prospectus Regulation” means Regulation (EU) 2017/1129.</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 In connection with the offering, the underwriter is not acting for anyone other than the selling stockholders and will not be responsible to anyone other than the selling stockholders for providing the protections afforded to its clients nor for providing advice in relation to the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None of the securities offered hereby have been offered or will be offered pursuant to this offering to the public in the United Kingdom except that the securities may be offered to the public in the United Kingdom at any time:</w:t>
      </w:r>
    </w:p>
    <w:p>
      <w:pPr>
        <w:spacing w:after="0" w:line="162" w:lineRule="exact"/>
        <w:rPr>
          <w:sz w:val="20"/>
          <w:szCs w:val="20"/>
          <w:color w:val="auto"/>
        </w:rPr>
      </w:pPr>
    </w:p>
    <w:p>
      <w:pPr>
        <w:ind w:left="120" w:firstLine="436"/>
        <w:spacing w:after="0" w:line="266" w:lineRule="auto"/>
        <w:tabs>
          <w:tab w:leader="none" w:pos="8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225"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8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offered hereby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spacing w:after="0" w:line="180"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In addition, in the United Kingdom, this prospectus supplement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who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7" w:lineRule="exact"/>
        <w:rPr>
          <w:sz w:val="20"/>
          <w:szCs w:val="20"/>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Hong Kong and any rules made under that Ordinance; or</w:t>
      </w:r>
    </w:p>
    <w:p>
      <w:pPr>
        <w:spacing w:after="0" w:line="9" w:lineRule="exact"/>
        <w:rPr>
          <w:rFonts w:ascii="Times New Roman" w:cs="Times New Roman" w:eastAsia="Times New Roman" w:hAnsi="Times New Roman"/>
          <w:sz w:val="18"/>
          <w:szCs w:val="18"/>
          <w:color w:val="auto"/>
        </w:rPr>
      </w:pPr>
    </w:p>
    <w:p>
      <w:pPr>
        <w:ind w:left="120" w:right="160" w:hanging="4"/>
        <w:spacing w:after="0" w:line="252"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540" w:right="14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56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jc w:val="both"/>
        <w:ind w:left="560" w:right="2840" w:hanging="444"/>
        <w:spacing w:after="0" w:line="406" w:lineRule="auto"/>
        <w:tabs>
          <w:tab w:leader="none" w:pos="55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 Where the shares are subscribed or purchased under Section 275 of the SFA by a relevant person which is:</w:t>
      </w:r>
    </w:p>
    <w:p>
      <w:pPr>
        <w:ind w:left="540" w:right="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right="7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product disclosure document or a prospectus under Chapter 6D.2 of the Corporations Act 2001 (Cth), or the Corporations Act;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of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 (“DIFC”)</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Israeli Securities Law, and has not been filed with or approved by the Israel Securities Authority. In Israel, this prospectus supplement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Ropes &amp; Gray LLP, Boston, MA, will pass upon the validity of the common stock offered by this prospectus supplement. Kirkland &amp; Ellis LLP, New York, NY, will act as counsel to the underwriter.</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980"/>
          </w:cols>
          <w:pgMar w:left="320" w:top="455" w:right="5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173990</wp:posOffset>
            </wp:positionV>
            <wp:extent cx="2297430" cy="523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29743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LifeStance Health Group, Inc.</w:t>
      </w: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solely covers the resale by selling stockholders of shares of common stock, par value $0.01 per share (the “common stock”), of LifeStance Health Group, Inc. The selling stockholders, who will be named in a prospectus supplement, may offer and sell shares of common stock at any time and from time to time, in one or more offerings, together or separately, in amounts, at prices and on terms that will be determined at the time of any such offering.</w:t>
      </w:r>
    </w:p>
    <w:p>
      <w:pPr>
        <w:spacing w:after="0" w:line="7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and sold. Each time any of the selling stockholders offer and sell shares of our common stock, such selling stockholders will provide the specific terms of any offering of these securities in a prospectus supplement or free writing prospectus. The applicable prospectus supplement may also add, update or change information contained in this prospectus with respect to that offering. You should carefully read this prospectus and any applicable prospectus supplement and free writing prospectus we or the selling stockholders may provide to you, as well as the documents incorporated and deemed to be incorporated by reference in this prospectus, before you invest.</w:t>
      </w:r>
    </w:p>
    <w:p>
      <w:pPr>
        <w:spacing w:after="0" w:line="7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may not be used to offer and sell shares of our common stock unless accompanied by a prospectus supplement or a free writing prospectus.</w:t>
      </w:r>
    </w:p>
    <w:p>
      <w:pPr>
        <w:spacing w:after="0" w:line="5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any of these securities on a continuous or delayed basis directly, through agents, dealers or underwriters as designated from time to time, or through a combination of these methods. The selling stockholders reserve the sole right to accept, and any selling stockholder and any agents, dealers, underwriters reserve the right to reject, in whole or in part, any proposed purchase of these securities. The applicable prospectus supplement or free writing prospectus will set forth the names of the agents, dealers or underwriters, any applicable commissions or discounts payable to them and the specific terms of the plan of distribution. The names of the selling stockholders will be set forth in the applicable prospectus supplement or free writing prospectus.</w:t>
      </w:r>
    </w:p>
    <w:p>
      <w:pPr>
        <w:spacing w:after="0" w:line="7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by any selling stockholders. See the sections of this prospectus entitled “About this Prospectus” and “Plan of Distribution” for more information.</w:t>
      </w:r>
    </w:p>
    <w:p>
      <w:pPr>
        <w:spacing w:after="0" w:line="5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“LFST.” On May 20, 2024, the last sale price of our common stock as reported on Nasdaq was $7.51 per share.</w:t>
      </w:r>
    </w:p>
    <w:p>
      <w:pPr>
        <w:spacing w:after="0" w:line="5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Before you invest, you should carefully read this prospectus, any applicable prospectus supplement and information described under the headings “Where You Can Find More Information; 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our common stock involves risks. See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2, in any accompanying prospectus supplement and in the documents we have incorporated by reference herein and therein.</w:t>
      </w:r>
    </w:p>
    <w:p>
      <w:pPr>
        <w:spacing w:after="0" w:line="2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21, 2024.</w:t>
      </w:r>
    </w:p>
    <w:p>
      <w:pPr>
        <w:sectPr>
          <w:pgSz w:w="11900" w:h="16838" w:orient="portrait"/>
          <w:cols w:equalWidth="0" w:num="1">
            <w:col w:w="11080"/>
          </w:cols>
          <w:pgMar w:left="320" w:top="455"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00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CERTAIN DOCUMENTS BY REFERENCE</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1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8600" w:type="dxa"/>
            <w:vAlign w:val="bottom"/>
            <w:gridSpan w:val="8"/>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300" w:type="dxa"/>
            <w:vAlign w:val="bottom"/>
            <w:gridSpan w:val="6"/>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020" w:type="dxa"/>
            <w:vAlign w:val="bottom"/>
            <w:gridSpan w:val="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840" w:type="dxa"/>
            <w:vAlign w:val="bottom"/>
            <w:gridSpan w:val="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 as a “well-known seasoned issuer” as defined in Rule 405 under the Securities Act of 1933, as amended (the “Securities Act”). Under this automatic shelf registration statement, the selling stockholders, who will be named in a prospectus supplement, may offer, at any time and from time to time, in one or more offerings, together or separately, shares of common stock described in this prospectus and the applicable prospectus supplement in amounts, at prices and on other terms to be determined at the time of the applicable offering.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relates solely to the common stock that the selling stockholders may offer from time to time.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not complete and does not contain all of the information that you should consider before making an investment in our common stock described in this prospectus. This prospectus provides you with a general description of our common stock the selling stockholders may offer. To the extent required by applicable law, each time the selling stockholders sell shares of common stock, the selling stockholders will provide you with this prospectus and, to the extent required, a prospectus supplement that will contain more information about the specific terms of the offering. A supplement to this prospectus or a free writing prospectus may also add to, update or change the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w:t>
      </w:r>
    </w:p>
    <w:p>
      <w:pPr>
        <w:spacing w:after="0" w:line="19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the accompanying prospectus supplement and any permitted free writing prospectus. Neither we, any selling stockholder nor any underwriter that may be named in a future prospectus supplement has authorized any other person to provide you with any different or additional information that is not contained or incorporated by reference in this prospectus, any accompanying prospectus supplement or in any free writing prospectus that we may provide to you in connection with an offering. Neither we nor any selling stockholders take responsibility for, or can provide any assurance as to the reliability of, any information that others may give you. You should carefully read this prospectus, any applicable prospectus supplement, if any, and any related free writing prospectus, together with the additional information that is incorporated or deemed incorporated by reference in this prospectus as described under “Where You Can Find More Information; Incorporation of Certain Documents by Reference” before making an investment decision.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does not constitute, and any accompanying prospectus supplement or free writing prospectus that we may provide to you in connection with an offering of the securities described herein will not constitute, an offer to sell or the solicitation of an offer to buy any securities other than the registered securities to which they relate, or an offer to sell or the solicitation of an offer to buy securities in any jurisdiction to any person to whom it is unlawful to make such offer or solicitation in such jurisdiction.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(www.sec.gov) from which interested persons can electronically access our reports, proxy statements and other information regarding us.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or are deemed to have been “furnished” but not “filed” for purposes of the Securities Exchange Act of 1934, as amended (the “Exchange Act”)):</w:t>
      </w:r>
    </w:p>
    <w:p>
      <w:pPr>
        <w:spacing w:after="0" w:line="85" w:lineRule="exact"/>
        <w:rPr>
          <w:sz w:val="20"/>
          <w:szCs w:val="20"/>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 (our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9, 2024 (our “Quarterly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60">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incorporated by reference into our Annual Report, filed with the SEC on April 23, 2024;</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1">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Item 8.01), </w:t>
      </w:r>
      <w:hyperlink r:id="rId62">
        <w:r>
          <w:rPr>
            <w:rFonts w:ascii="Times New Roman" w:cs="Times New Roman" w:eastAsia="Times New Roman" w:hAnsi="Times New Roman"/>
            <w:sz w:val="18"/>
            <w:szCs w:val="18"/>
            <w:u w:val="single" w:color="auto"/>
            <w:color w:val="0000EE"/>
          </w:rPr>
          <w:t>March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Item 5.02);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(including our common stock) contained in </w:t>
      </w:r>
      <w:hyperlink r:id="rId2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incorporate by reference any filings made with the SEC in accordance with Sections 13(a), 13(c), 14 or 15(d) of the Exchange Act on or after the date of this prospectus and before the date all of the securities offered by the relevant prospectus supplement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with the SEC or report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4" w:lineRule="exact"/>
        <w:rPr>
          <w:rFonts w:ascii="Times New Roman" w:cs="Times New Roman" w:eastAsia="Times New Roman" w:hAnsi="Times New Roman"/>
          <w:sz w:val="18"/>
          <w:szCs w:val="18"/>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www.sec.gov. We will provide, without charge, to each person, including any beneficial owner, to whom a copy of this prospectus is delivered, upon written or oral request of such person, a copy of any of the reports and documents referred to above which have been or may be incorporated by reference into this prospectus. You should direct requests for those documents to:</w:t>
      </w:r>
    </w:p>
    <w:p>
      <w:pPr>
        <w:spacing w:after="0" w:line="18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4800 N. Scottsdale Road, Suite 2500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Scottsdale, Arizona 85251</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investor.relations@lifestance.com</w:t>
      </w:r>
    </w:p>
    <w:p>
      <w:pPr>
        <w:spacing w:after="0" w:line="13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maintain an internet site at www.lifestance.com. Our SEC filings are also available free of charge at our website. Our website and the information contained on or connected to it shall not be deemed to be incorporated into this prospectus or the registration statement of which it forms a part.</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80"/>
          </w:cols>
          <w:pgMar w:left="320" w:top="455"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prospectus or in our other documents that are incorporated by reference herein that are not purely historical are forward-looking statements within the meaning of Section 27A of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the economy,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de novo centers and acquire new centers; our growth rates and financial results; our plans and objectives for future operations, growth or initiatives and strategies; and our expected market opportunity are forward-looking statements.</w:t>
      </w:r>
    </w:p>
    <w:p>
      <w:pPr>
        <w:spacing w:after="0" w:line="192"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81" w:lineRule="exact"/>
        <w:rPr>
          <w:sz w:val="20"/>
          <w:szCs w:val="20"/>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reimbursement rates paid by third-party payors are reduced or if third-party payors otherwise restrain our ability to obtain or deliver care to patients, our business could be harmed;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imply future growth, including if we are unable to successfully execute on our growth initiatives and business strategies;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expenses could increase more than expected, our revenue may not increase proportionally or at all, and we may be unable to execute on our business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new clinicians and retain existing clinicians;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supported practices, which we do not own, to provide health care services, and our business would be harmed if those relationships were disrupted or if our arrangements with these entities became subject to legal challenges;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and financial performance would be harmed;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care reform legislation and other changes in the healthcare industry and in health care spending on us is currently unknown, but may harm our business;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effectively invest in, implement improvements to and properly maintain the uninterrupted operation and data integrity of our information technology and other business systems;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could adversely affect our business and growth prospects;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 in our Annual Report, as amended, revised or supplemented by subsequent filings with the SEC that have been or will be incorporated by reference in this prospectus.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reimagining mental health through a tech-enabled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6,866 licensed mental health clinicians as of March 31, 2024.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model is built to empower each of the healthcare ecosystem’s key stakeholders—patients, clinicians, payors and primary care and specialist physicians—by aligning around our shared goal of delivering better outcomes for patients and providing high-quality mental healthcare.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LifeStance Health Group, Inc. is a Delaware corporation. Our shares of common stock are listed on Nasdaq under the symbol “LFST.” Our principal executive offices are located at 4800 N. Scottsdale Road, Suite 2500, Scottsdale, Arizona 85251, and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risks. You should carefully review the risk factors and other cautionary statements, including those described under the section entitled “Risk Factors” in our most recent Annual Report, our Quarterly Reports on Form 10-Q and other documents we file with the SEC, which have been or will be incorporated by reference in this prospectus, and the risk factors and other information contained in the applicable prospectus supplement or free writing prospectus. The risks and uncertainties in the documents referred to above, as well as other matters discussed in those documents, could materially and adversely affect our business, financial condition, liquidity, results of operations, prospects and the market price of our common stock. Moreover, the risks and uncertainties discussed in the foregoing documents are not the only risks and uncertainties that we face, and our business, financial condition, liquidity, results of operations, prospects and the market price of our common stock could be materially adversely affected by other matters that are not known to us or that we currently do not consider to be material risks to our business.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common stock by any selling stockholders. All of the shares of our common stock offered by the selling stockholders pursuant to this prospectus will be sold by the selling stockholders. We have agreed to pay certain expenses in connection with the registration of common stock being offered by the selling stockholders.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Information regarding the identities of any selling stockholders, any material relationships the selling stockholders have had within the past three years with the Company, the beneficial ownership of our common stock by the selling stockholders, the number of shares to be offered by the selling stockholders and the percentage to be owned by the selling stockholders after completion of the applicable offering will be set forth in a prospectus supplement, in a post-effective amendment, or in filings we make with the SEC under the Exchange Act that are incorporated by reference.</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summarizes important terms of our capital stock. This summary does not purport to be complete and is qualified in its entirety by (i) the provisions of our amended and restated certificate of incorporation and our second amended and restated bylaws (our “bylaws”), each of which have been filed as exhibits to the registration statement of which this prospectus is a part, and (ii) certain provisions of Delaware law. For more information on how you can obtain our amended and restated certificate of incorporation and bylaws, see “Where You Can Find More Information; Incorporation of Certain Documents by Reference.”</w:t>
      </w:r>
    </w:p>
    <w:p>
      <w:pPr>
        <w:spacing w:after="0" w:line="18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800,000,000 shares of common stock, par value $0.01 per share, and 25,000,000 shares of preferred stock, $0.01 per share. As of May 1, 2024, 382,287,766 shares of common stock and no shares of preferred stock are outstanding.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apply to shares of preferred stock outstanding at the time, holders of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entitled to receive dividends out of assets legally available at the times and in the amounts as the Board of Directors may determine from time to time.</w:t>
      </w:r>
    </w:p>
    <w:p>
      <w:pPr>
        <w:spacing w:after="0" w:line="173"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outstanding share of common stock is entitled to one vote on all matters submitted to a vote of stockholders. Holders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have no cumulative voting rights.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Our common stock is not entitled to preemptive or other similar subscription rights to purchase any of our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r>
        <w:rPr>
          <w:rFonts w:ascii="Times New Roman" w:cs="Times New Roman" w:eastAsia="Times New Roman" w:hAnsi="Times New Roman"/>
          <w:sz w:val="18"/>
          <w:szCs w:val="18"/>
          <w:color w:val="auto"/>
        </w:rPr>
        <w:t>. Our common stock is neither convertible nor redeemable.</w:t>
      </w:r>
    </w:p>
    <w:p>
      <w:pPr>
        <w:spacing w:after="0" w:line="225" w:lineRule="exact"/>
        <w:rPr>
          <w:sz w:val="20"/>
          <w:szCs w:val="20"/>
          <w:color w:val="auto"/>
        </w:rPr>
      </w:pPr>
    </w:p>
    <w:p>
      <w:pPr>
        <w:ind w:left="120" w:right="1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Upon our liquidation, the holders of our common stock will be entitled to receive pro rata our assets that are legally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distribution, after payment of all debts and other liabilities and subject to the prior rights of any holders of preferred stock then outstanding.</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the common stock.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our common stock and the market value of our common stock. Upon consummation of this offering, there will be no shares of preferred stock outstanding, and we have no present intention to issue any shares of preferred stock.</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our initial public offering, we entered into a stockholders agreement with certain of our stockholders, including investment entities affiliated with TPG Global, LLC (“TPG”), Summit Partners (“Summit”) and Silversmith Capital Partners (“Silversmith” and, together with TPG and Summit, the “Principal Stockholders”), pursuant to which such parties have specified board representation rights, governance rights and other rights.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Certain of our stockholders, including investment entities affiliated with our Principal Stockholders and certain of our executive officers, are entitled to rights with respect to the registration of shares of common stock under the Securities Act. These registration rights are contained in a registration rights agreement that we entered into with such stockholders in connection with our initial public offering.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Certificate of Incorporation and Bylaws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29" w:lineRule="exact"/>
        <w:rPr>
          <w:sz w:val="20"/>
          <w:szCs w:val="20"/>
          <w:color w:val="auto"/>
        </w:rPr>
      </w:pPr>
    </w:p>
    <w:p>
      <w:pPr>
        <w:jc w:val="both"/>
        <w:ind w:left="1080" w:right="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amended and restated certificate of incorporation provides that our Board of Directors is divided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for which directors severally hold office into three classes of directors. As a result, approximately one-third of our Board of Directors is elected each year. The classification of directors has the effect of making it more difficult for stockholders to change the composition of our Board of Directors. Our Board of Directors is currently composed of 10 members.</w:t>
      </w:r>
    </w:p>
    <w:p>
      <w:pPr>
        <w:spacing w:after="0" w:line="85"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certificate of incorporation specifically authorizes cumulative voting. Our amended and restated certificate of incorporation does not authorize cumulative voting.</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removal of directors</w:t>
      </w:r>
      <w:r>
        <w:rPr>
          <w:rFonts w:ascii="Times New Roman" w:cs="Times New Roman" w:eastAsia="Times New Roman" w:hAnsi="Times New Roman"/>
          <w:sz w:val="18"/>
          <w:szCs w:val="18"/>
          <w:color w:val="auto"/>
        </w:rPr>
        <w:t>. Directors may only be removed for cause. However, any director who is designated for nomination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Principal Stockholder pursuant to the terms of our stockholders agreement may be removed with or without cause by such Principal Stockholder with the approval of the holders of the majority of the total voting power of the outstanding shares of capital stock entitled to vote generally in the election of directors, subject to the terms of our stockholders agreement.</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procedures</w:t>
      </w:r>
      <w:r>
        <w:rPr>
          <w:rFonts w:ascii="Times New Roman" w:cs="Times New Roman" w:eastAsia="Times New Roman" w:hAnsi="Times New Roman"/>
          <w:sz w:val="18"/>
          <w:szCs w:val="18"/>
          <w:color w:val="auto"/>
        </w:rPr>
        <w:t>. Our bylaws establish an advance notice procedure for stockholder proposals to be brought before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from conducting a solicitation of proxies to elect its own slate of directors or otherwise attempting to obtain control of our Company.</w:t>
      </w:r>
    </w:p>
    <w:p>
      <w:pPr>
        <w:spacing w:after="0" w:line="129" w:lineRule="exact"/>
        <w:rPr>
          <w:sz w:val="20"/>
          <w:szCs w:val="20"/>
          <w:color w:val="auto"/>
        </w:rPr>
      </w:pPr>
    </w:p>
    <w:p>
      <w:pPr>
        <w:ind w:left="1080" w:hanging="424"/>
        <w:spacing w:after="0" w:line="25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by written consent; special meetings of stockholders</w:t>
      </w:r>
      <w:r>
        <w:rPr>
          <w:rFonts w:ascii="Times New Roman" w:cs="Times New Roman" w:eastAsia="Times New Roman" w:hAnsi="Times New Roman"/>
          <w:sz w:val="18"/>
          <w:szCs w:val="18"/>
          <w:color w:val="auto"/>
        </w:rPr>
        <w:t>. Our amended and restated certificate of incorporation provides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on which our Principal Stockholders no longer beneficially own a majority of our common stock, stockholder action can be taken only at an annual or special meeting of stockholders and cannot be taken by written consent in lieu of a meeting. Our amended and restated certificate of incorporation also provides that, except as otherwise required by law, special meetings of the stockholders can only be called by or at the direction of the Board of Directors pursuant to a resolution approved by a majority of the entire Board of Directors.</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Supermajority approval requirements</w:t>
      </w:r>
      <w:r>
        <w:rPr>
          <w:rFonts w:ascii="Times New Roman" w:cs="Times New Roman" w:eastAsia="Times New Roman" w:hAnsi="Times New Roman"/>
          <w:sz w:val="18"/>
          <w:szCs w:val="18"/>
          <w:color w:val="auto"/>
        </w:rPr>
        <w:t>. Certain amendments to our certificate of incorporation and shareholder amendments to our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require the affirmative vote of at least two-thirds of the voting power of the outstanding shares of our capital stock entitled to vote thereon.</w:t>
      </w:r>
    </w:p>
    <w:p>
      <w:pPr>
        <w:spacing w:after="0" w:line="78"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and preferred stock are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 existence of authorized but unissued shares of preferred stock could render more difficult or discourage an attempt to obtain control of us by means of a proxy contest, tender offer, merger or otherwise.</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bylaws, (4) any action to interpret, apply, enforce or determine the validity of our amended and restated certificate of incorporation or our bylaws or (5) any other action asserting a claim against us that is governed by the internal affairs doctrine; provided that, the exclusive forum provision will not apply to suits brought to enforce any liability or duty created by the Exchange Act or to any claim for which the federal courts have exclusive jurisdiction. Our amended and restated certificate of incorporation also provides that, unless we consent in writing to the selection of an alternative forum, the U.S. federal district courts shall be the exclusive forum for the resolution of any claims arising under the Securities Act. Although we believe these provisions benefit us by providing increased consistency in the application of Delaware and certain federal securities law, these provisions may have the effect of discouraging lawsuits against our directors and officers.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have elected in our amended and restated certificate of incorporation not to be subject to Section 203 of the DGCL (“Section 203”), an antitakeover law. In general,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w:t>
      </w:r>
    </w:p>
    <w:p>
      <w:pPr>
        <w:spacing w:after="0" w:line="85" w:lineRule="exact"/>
        <w:rPr>
          <w:sz w:val="20"/>
          <w:szCs w:val="20"/>
          <w:color w:val="auto"/>
        </w:rPr>
      </w:pPr>
    </w:p>
    <w:p>
      <w:pPr>
        <w:ind w:left="1080" w:right="3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transaction that resulted in the stockholder becoming an interested stockholder, the interested stockholder owned at least 85% of the voting stock of the corporation outstanding at the time the transaction commenced, calculated pursuant to Section 203; or</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the stockholders, and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20"/>
        <w:spacing w:after="0" w:line="282" w:lineRule="auto"/>
        <w:rPr>
          <w:sz w:val="20"/>
          <w:szCs w:val="20"/>
          <w:color w:val="auto"/>
        </w:rPr>
      </w:pPr>
      <w:r>
        <w:rPr>
          <w:rFonts w:ascii="Times New Roman" w:cs="Times New Roman" w:eastAsia="Times New Roman" w:hAnsi="Times New Roman"/>
          <w:sz w:val="18"/>
          <w:szCs w:val="18"/>
          <w:color w:val="auto"/>
        </w:rPr>
        <w:t>by written consent, by the affirmative vote of at least two-thirds of the outstanding voting stock which is not owned by the interested stockholder.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While we will not be subject to any anti-takeover effects of Section 203, our amended and restated certificate of incorporation contains provisions that have the same effect as Section 203, except that they provide that investment funds affiliated with our Principal Stockholders will not be deemed to be an “interested stockholder,” regardless of the percentage of our voting stock owned by investment funds affiliated with our Principal Stockholders, and accordingly we will not be subject to such restrictions.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renounce any interest or expectancy in the business opportunities of our Principal Stockholders and each of their respective partners, principals, directors, officers, members, managers and/or employees, including any of the foregoing who serve as officers or directors of the Company, and each such party shall not have any obligation to offer us those opportunities unless presented to one of our directors or officers in his or her capacity as a director or officer.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and officers to the fullest extent permitted by Delaware law and requires that we will provide them with customary indemnification. We have also entered into customary indemnification agreements with each of our directors that provide them, in general, with customary indemnification in connection with their service to us or on our behalf. Insofar as indemnification for liabilities arising under the Securities Act may be permitted to directors, we have been informed that in the opinion of the SEC such indemnification is against public policy and is therefore unenforceable. We also maintain officers’ and directors’ liability insurance that insures against liabilities that our officers and directors may incur in such capacities.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“LFST.”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resale, from time to time, by the selling stockholders to be identified in a prospectus supplement of our common stock.</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sell any or all of the common stock offered hereby directly to one or more purchasers or through one or more underwriters, broker-dealers or agents, or through a combination of any of these methods of sale. The selling stockholders will be responsible for any underwriting discounts or agent’s commissions attributable to the resale of the shares of our common stock. Shares of our common stock may be sold in one or more transactions at fixed prices, at prevailing market prices at the time of the sale, at varying prices determined at the time of sale, or at negotiated prices. These prices will be determined by the selling stockholders or by agreement between such selling stockholders and any underwriter, broker-dealer or agent who receives fees or commissions in connection with a sale. The selling stockholders may use any one or more of the following methods when selling shares:</w:t>
      </w:r>
    </w:p>
    <w:p>
      <w:pPr>
        <w:spacing w:after="0" w:line="9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or any other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on a firm commitment or best-efforts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our common stock to a broker-dealer who may sell shares of our common stock so loaned or, upon a default, may sell or otherwise transfer the pledged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under the Securities Act or other available exemptions from the registration requirements of the Securities Act rather than under this prospectus or any applicable prospectus supplement.</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selling stockholders may enter into hedging transactions with broker-dealers which may engage in short sales of shares of our common stock in the course of hedging the positions they assume with the selling stockholders. The selling stockholders may also sell shares of our common stock short and deliver the shares of our common stock to close out such short position. The selling stockholders may also enter into option or other transactions with broker-dealers that require the delivery by such broker-dealers of the shares of our common stock, which shares may be resold thereafter pursuant to this prospectus or any applicable prospectus supplement.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or both (which discounts, concessions or commissions as to particular underwriters, broker-dealers or agents may be less than or in excess of those customary in the types of transactions involved).</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shares of common stock held by the selling stockholders,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shares of common stock to be offered and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and other material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under which underwriters may purchase additional shares of common stock from the selling stockholders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stockholders.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are involved in selling the shares may be deemed to be “underwriters” within the meaning of the Securities Act in connection with such sales. In such event, any commissions received by such underwriters, broker-dealers or agents and any profit on the resale of the shares purchased by them may be deemed to be underwriting commissions or discounts under the Securities Act.</w:t>
      </w:r>
    </w:p>
    <w:p>
      <w:pPr>
        <w:spacing w:after="0" w:line="180"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be entitled to indemnification by us and the selling stockholders against certain civil liabilities, including liabilities under the Securities Act, or to contribution with respect to payments which the underwriters, broker-dealers or agents may be required to make in respect thereof.</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will be subject to the Exchange Act, including Regulation M, which may limit the timing of purchases and sales of our common stock by the selling stockholders and their affiliates, as applicable.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stockholders will sell any or all of the shares of our common stock registered pursuant to the registration statement of which this prospectus or any applicable prospectus supplement forms a part.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Ropes &amp; Gray LLP, Boston, MA, will pass upon the validity of the common stock offered by this prospectus. Additional legal matters may be passed on for us, or any underwriters, dealers or agents, by counsel that we will name in the applicable prospectus supplement.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35,000,000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344170</wp:posOffset>
            </wp:positionV>
            <wp:extent cx="2297430" cy="531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22974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43"/>
          <w:szCs w:val="43"/>
          <w:b w:val="1"/>
          <w:bCs w:val="1"/>
          <w:color w:val="auto"/>
        </w:rPr>
        <w:t>LifeStance Health Group,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J.P. Morgan</w:t>
      </w:r>
    </w:p>
    <w:p>
      <w:pPr>
        <w:spacing w:after="0" w:line="2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8"/>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2"/>
    </w:lvl>
  </w:abstractNum>
  <w:abstractNum w:abstractNumId="17">
    <w:nsid w:val="2443A858"/>
    <w:multiLevelType w:val="hybridMultilevel"/>
    <w:lvl w:ilvl="0">
      <w:lvlJc w:val="left"/>
      <w:lvlText w:val="(%1)"/>
      <w:numFmt w:val="lowerLetter"/>
      <w:start w:val="1"/>
    </w:lvl>
    <w:lvl w:ilvl="1">
      <w:lvlJc w:val="left"/>
      <w:lvlText w:val="(%2)"/>
      <w:numFmt w:val="lowerRoman"/>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jpe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jpe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15" Type="http://schemas.openxmlformats.org/officeDocument/2006/relationships/hyperlink" Target="http://www.sec.gov/ix?doc=/Archives/edgar/data/1845257/000119312526071462/lfst-20251231.htm" TargetMode="External"/><Relationship Id="rId16" Type="http://schemas.openxmlformats.org/officeDocument/2006/relationships/hyperlink" Target="http://www.sec.gov/ix?doc=/Archives/edgar/data/1845257/000119312526211814/lfst-20260331.htm" TargetMode="External"/><Relationship Id="rId17" Type="http://schemas.openxmlformats.org/officeDocument/2006/relationships/hyperlink" Target="http://www.sec.gov/ix?doc=/Archives/edgar/data/1845257/000119312526170798/lfst-20260421.htm" TargetMode="External"/><Relationship Id="rId18" Type="http://schemas.openxmlformats.org/officeDocument/2006/relationships/hyperlink" Target="http://www.sec.gov/ix?doc=/Archives/edgar/data/0001845257/000119312526067858/lfst-20260225.htm" TargetMode="External"/><Relationship Id="rId19" Type="http://schemas.openxmlformats.org/officeDocument/2006/relationships/hyperlink" Target="http://www.sec.gov/ix?doc=/Archives/edgar/data/0001845257/000119312526085507/d116309d8k.htm" TargetMode="External"/><Relationship Id="rId20" Type="http://schemas.openxmlformats.org/officeDocument/2006/relationships/hyperlink" Target="http://www.sec.gov/ix?doc=/Archives/edgar/data/0001845257/000119312526102436/d128029d8k.htm" TargetMode="External"/><Relationship Id="rId21" Type="http://schemas.openxmlformats.org/officeDocument/2006/relationships/hyperlink" Target="http://www.sec.gov/Archives/edgar/data/1845257/000095017022004096/lfst-ex4_2.htm" TargetMode="External"/><Relationship Id="rId58" Type="http://schemas.openxmlformats.org/officeDocument/2006/relationships/hyperlink" Target="http://www.sec.gov/ix?doc=/Archives/edgar/data/0001845257/000095017024022131/lfst-20231231.htm" TargetMode="External"/><Relationship Id="rId59" Type="http://schemas.openxmlformats.org/officeDocument/2006/relationships/hyperlink" Target="http://www.sec.gov/ix?doc=/Archives/edgar/data/0001845257/000095017024056989/lfst-20240331.htm" TargetMode="External"/><Relationship Id="rId60" Type="http://schemas.openxmlformats.org/officeDocument/2006/relationships/hyperlink" Target="http://www.sec.gov/ix?doc=/Archives/edgar/data/0001845257/000095017024046929/lfst-20240422.htm" TargetMode="External"/><Relationship Id="rId61" Type="http://schemas.openxmlformats.org/officeDocument/2006/relationships/hyperlink" Target="http://www.sec.gov/ix?doc=/Archives/edgar/data/0001845257/000119312524022199/d701308d8k.htm" TargetMode="External"/><Relationship Id="rId62" Type="http://schemas.openxmlformats.org/officeDocument/2006/relationships/hyperlink" Target="http://www.sec.gov/ix?doc=/Archives/edgar/data/0001845257/000095017024029684/lfst-20240312.htm" TargetMode="External"/><Relationship Id="rId63" Type="http://schemas.openxmlformats.org/officeDocument/2006/relationships/hyperlink" Target="http://www.sec.gov/ix?doc=/Archives/edgar/data/0001845257/000095017024056089/lfst-202405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2026-05-08T05:14:00Z</dcterms:created>
  <dcterms:modified xsi:type="dcterms:W3CDTF">2026-05-08T05:14:00Z</dcterms:modified>
</cp:coreProperties>
</file>