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Varanakis 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LIFESTANCE HEALTH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4800 N. SCOTTSDALE ROAD, SUITE 2500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SCOTTSDALE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LifeStance Health Group, Inc.</w:t>
              </w:r>
            </w:hyperlink>
            <w:r>
              <w:rPr/>
              <w:t xml:space="preserve"> [ </w:t>
            </w:r>
            <w:r>
              <w:rPr>
                <w:rFonts w:ascii="Times;serif" w:hAnsi="Times;serif"/>
                <w:color w:val="0000FF"/>
                <w:sz w:val="24"/>
                <w:shd w:fill="FFFFFF" w:val="clear"/>
              </w:rPr>
              <w:t>LFST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8,156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12.16</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413,881</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withheld by the Issuer to satisfy tax withholding obligations in connection with the net settlement of restricted stock units ("RSUs") that vested on August 24, 2026. The shares withheld represent a reduction of shares issued to the Reporting Person upon settlement of vested RSUs and do not constitute any open-market sale.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Ryan Pardo,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5703" TargetMode="External"/><Relationship Id="rId5" Type="http://schemas.openxmlformats.org/officeDocument/2006/relationships/hyperlink" Target="http://www.sec.gov/cgi-bin/browse-edgar?action=getcompany&amp;CIK=0001845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3423</Characters>
  <CharactersWithSpaces>3983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