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547222d424b7.htm"/>
      <w:bookmarkStart w:id="1" w:name="ksd547222d424b7"/>
      <w:bookmarkEnd w:id="0"/>
      <w:bookmarkEnd w:id="1"/>
      <w:r>
        <w:rPr>
          <w:rFonts w:ascii="Times New Roman" w:hAnsi="Times New Roman"/>
          <w:b/>
          <w:sz w:val="20"/>
        </w:rPr>
        <w:t>Filed Pursuant to Rule 424(b)(7)</w:t>
        <w:br/>
        <w:t xml:space="preserve">Registration No. 333-279585 </w:t>
      </w:r>
    </w:p>
    <w:p>
      <w:pPr>
        <w:pStyle w:val="TextBody"/>
        <w:bidi w:val="0"/>
        <w:spacing w:before="0" w:after="0"/>
        <w:jc w:val="left"/>
        <w:rPr>
          <w:rFonts w:ascii="Times New Roman" w:hAnsi="Times New Roman"/>
          <w:b/>
          <w:sz w:val="19"/>
        </w:rPr>
      </w:pPr>
      <w:r>
        <w:rPr>
          <w:rFonts w:ascii="Times New Roman" w:hAnsi="Times New Roman"/>
          <w:b/>
          <w:sz w:val="19"/>
        </w:rPr>
        <w:t xml:space="preserve">PROSPECTUS SUPPLEMENT </w:t>
      </w:r>
    </w:p>
    <w:p>
      <w:pPr>
        <w:pStyle w:val="TextBody"/>
        <w:bidi w:val="0"/>
        <w:spacing w:before="0" w:after="0"/>
        <w:jc w:val="left"/>
        <w:rPr>
          <w:rFonts w:ascii="Times New Roman" w:hAnsi="Times New Roman"/>
          <w:b/>
          <w:sz w:val="19"/>
        </w:rPr>
      </w:pPr>
      <w:r>
        <w:rPr>
          <w:rFonts w:ascii="Times New Roman" w:hAnsi="Times New Roman"/>
          <w:b/>
          <w:sz w:val="19"/>
        </w:rPr>
        <w:t xml:space="preserve">(To Prospectus dated May 21, 2024) </w:t>
      </w:r>
    </w:p>
    <w:p>
      <w:pPr>
        <w:pStyle w:val="TextBody"/>
        <w:bidi w:val="0"/>
        <w:spacing w:before="240" w:after="0"/>
        <w:jc w:val="center"/>
        <w:rPr>
          <w:rFonts w:ascii="Times New Roman" w:hAnsi="Times New Roman"/>
          <w:b/>
          <w:sz w:val="36"/>
        </w:rPr>
      </w:pPr>
      <w:r>
        <w:rPr>
          <w:rFonts w:ascii="Times New Roman" w:hAnsi="Times New Roman"/>
          <w:b/>
          <w:sz w:val="36"/>
        </w:rPr>
        <w:t xml:space="preserve">22,250,000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29840" cy="5727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29840" cy="5727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LifeStance Health Group,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identified in this prospectus supplement are offering 22,250,000 shares of common stock, par value $0.01 per share (the “common stock”), of LifeStance Health Group, Inc. (the “Company”). The Company is not selling any shares of common stock under this prospectus supplement and will not receive any proceeds from the sale of shares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completion of this offering, we intend to purchase from the underwriter 2,000,000 shares of our common stock that are subject to this offering at a price per share equal to the price per share paid by the underwriter to the selling stockholders in this offering (the “Share Repurchase”). The repurchased shares of common stock will no longer be outstanding after this offering. The underwriter will not receive any compensation for the shares of our common stock being purchased by us. The offering is not conditioned upon the completion of the Share Repurchase. We cannot assure you that this offering or the Share Repurchase will be consummated. Nothing in this prospectus supplement should be construed as an offer to sell, or the solicitation of an offer to buy, any shares of our common stock subject to the Repurchase.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common stock is listed on the Nasdaq Global Select Market (“Nasdaq”) under the symbol “LFST.” On September 8, 2026, the last sale price of the common stock as reported on Nasdaq was $12.80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agreed to purchase shares of common stock from the selling stockholders at a price of $12.29 per share, which will result in approximately $273,452,500 of proceeds to the selling stockholders before expenses. The underwriter may offer the shares of common stock offered by this prospectus supplement, other than shares subject to the Share Repurchase, from time to time at market prices prevailing at the time of sale, at prices related to such prevailing market prices, at negotiated prices, at fixed prices or at prices that may be subject to change. The underwriter may effect such transactions by selling shares of common stock to or through dealers, and such dealers may receive compensation in the form of discounts, concessions or commissions from the underwriter and/or purchasers of shares of common stock for whom they may act as agents or to whom they may sell as principal. See “Underwriting” for additional information regarding underwriting compensation. </w:t>
      </w:r>
    </w:p>
    <w:p>
      <w:pPr>
        <w:pStyle w:val="TextBody"/>
        <w:bidi w:val="0"/>
        <w:spacing w:before="240" w:after="0"/>
        <w:jc w:val="left"/>
        <w:rPr/>
      </w:pPr>
      <w:r>
        <w:rPr>
          <w:rFonts w:ascii="Times New Roman" w:hAnsi="Times New Roman"/>
          <w:b/>
          <w:sz w:val="24"/>
        </w:rPr>
        <w:t>Investing in the Company’s common stock involves risks. See “</w:t>
      </w:r>
      <w:hyperlink w:anchor="supprom547222_6">
        <w:r>
          <w:rPr>
            <w:rStyle w:val="InternetLink"/>
            <w:rFonts w:ascii="Times New Roman" w:hAnsi="Times New Roman"/>
            <w:b/>
            <w:sz w:val="24"/>
          </w:rPr>
          <w:t>Risk Factors</w:t>
        </w:r>
      </w:hyperlink>
      <w:r>
        <w:rPr>
          <w:rFonts w:ascii="Times New Roman" w:hAnsi="Times New Roman"/>
          <w:b/>
          <w:sz w:val="24"/>
        </w:rPr>
        <w:t xml:space="preserve">” beginning on page S-4 and in the documents incorporated by reference herein.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supplement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expects to deliver the shares of common stock on or about September 11, 2026, through the book-entry facilities of The Depository Trust Company.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Barclays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September 9,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547222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2">
              <w:r>
                <w:rPr>
                  <w:rStyle w:val="InternetLink"/>
                  <w:rFonts w:ascii="Times New Roman" w:hAnsi="Times New Roman"/>
                  <w:sz w:val="20"/>
                </w:rPr>
                <w:t>WHERE YOU CAN FIND MORE INFORMATION; INCORPORATION OF CERTAIN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3">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4">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5">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6">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7">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8">
              <w:r>
                <w:rPr>
                  <w:rStyle w:val="InternetLink"/>
                  <w:rFonts w:ascii="Times New Roman" w:hAnsi="Times New Roman"/>
                  <w:sz w:val="20"/>
                </w:rPr>
                <w:t>SELLING STOCKHOLDERS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9">
              <w:r>
                <w:rPr>
                  <w:rStyle w:val="InternetLink"/>
                  <w:rFonts w:ascii="Times New Roman" w:hAnsi="Times New Roman"/>
                  <w:sz w:val="20"/>
                </w:rPr>
                <w:t>MATERIAL U.S. FEDERAL INCOME TAX CONSIDERATIONS TO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10">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547222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547222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2">
              <w:r>
                <w:rPr>
                  <w:rStyle w:val="InternetLink"/>
                  <w:rFonts w:ascii="Times New Roman" w:hAnsi="Times New Roman"/>
                  <w:sz w:val="20"/>
                </w:rPr>
                <w:t>WHERE YOU CAN FIND MORE INFORMATION; 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vi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upprom547222_1"/>
      <w:bookmarkEnd w:id="2"/>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and supplements information contained in the accompanying prospectus and the documents incorporated by reference in this prospectus supplement and the accompanying prospectus. The second part is the accompanying prospectus, which describes more general information, some of which may not apply to this offering. You should read both this prospectus supplement and the accompanying prospectus, including the documents incorporated by reference herein and therein. If information in this prospectus supplement is inconsistent with the accompanying prospectus, this prospectus supplement will supersede the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the accompanying prospectus or in a document incorporated or deemed to be incorporated by reference in this prospectus supplement or in the accompanying prospectus will be deemed to be modified or superseded to the extent that a statement contained in this prospectus supplement or in any other document subsequently filed with the SEC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See “Where You Can Find More Information; Incorporation of Certain Documents by Reference.” In various places in this prospectus supplement and the accompanying prospectus, we refer you to sections of other documents for additional information by indicating the titles of the other sections. All cross-references in this prospectus supplement are to captions contained in this prospectus supplement and not in the accompanying prospectus,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We are responsible for the information contained in this prospectus supplement, the accompanying prospectus and any permitted free writing prospectus. None of the Company, any selling stockholder or any underwriter has authorized anyone to provide you with any different or additional information or to make any representations about information that is not contained or incorporated by reference in this prospectus supplement, any accompanying prospectus or in any free writing prospectus that we may provide you in connection with this offering. We, the selling stockholders and the underwriter do not take any responsibility for and can provide no assurance as to the reliability of any other information or representations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any selling stockholder or any underwriter is making an offer to sell or soliciting offers to buy these securities in any jurisdiction where, or to any person to whom, the offer or sale is not permitted. The information contained or incorporated by reference in this prospectus supplement, the accompanying prospectus and any free writing prospectus that we may provide you in connection with this offering or other offering material filed by us with the SEC is accurate only as of the date of those documents or such information, regardless of the time of delivery of the documents or information or the time of any sale of the securities. Our business, financial condition, liquidity,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stated otherwise or the context otherwise requires, the terms “we,” “us,” “our,” “our business,” “LifeStance” and “our Company” and similar references refer to LifeStance Health Group, Inc. and its consolidated subsidiaries and supported practices.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NONE OF THE COMPANY, ANY SELLING STOCKHOLDER OR ANY UNDERWRITER HAS DONE ANYTHING THAT WOULD PERMIT THIS OFFERING OR POSSESSION OR DISTRIBUTION OF THIS PROSPECTUS SUPPLEMENT, THE ACCOMPANYING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SUPPLEMENT, THE ACCOMPANYING PROSPECTUS AND ANY SUCH FREE WRITING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rom547222_2"/>
      <w:bookmarkEnd w:id="3"/>
      <w:r>
        <w:rPr>
          <w:rFonts w:ascii="Times New Roman" w:hAnsi="Times New Roman"/>
          <w:b/>
          <w:sz w:val="20"/>
        </w:rPr>
        <w:t xml:space="preserve">WHERE YOU CAN FIND MORE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We file annual, quarterly and current reports, proxy statements and other information with the SEC. The SEC maintains a website (</w:t>
      </w:r>
      <w:r>
        <w:rPr>
          <w:rFonts w:ascii="Times New Roman" w:hAnsi="Times New Roman"/>
          <w:i/>
          <w:sz w:val="20"/>
        </w:rPr>
        <w:t>www.sec.gov</w:t>
      </w:r>
      <w:r>
        <w:rPr>
          <w:rFonts w:ascii="Times New Roman" w:hAnsi="Times New Roman"/>
          <w:sz w:val="20"/>
        </w:rPr>
        <w:t xml:space="preserve">) from which interested persons can electronically access our reports, proxy statements and other information regarding our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into this prospectus supplement certain information that we have filed with the SEC, which means that we are disclosing important information to you by referring you to documents we have filed separately with the SEC. The documents incorporated by reference are considered part of this prospectus supplement. This prospectus supplement incorporates by reference the following (excluding any portions of such documents that have been or are deemed to have been “furnished” but not “filed” for purposes of the Securities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25, 2026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 ended March 31, 2026, filed with the SEC on </w:t>
            </w:r>
            <w:hyperlink r:id="rId4">
              <w:r>
                <w:rPr>
                  <w:rStyle w:val="InternetLink"/>
                  <w:rFonts w:ascii="Times New Roman" w:hAnsi="Times New Roman"/>
                  <w:sz w:val="20"/>
                </w:rPr>
                <w:t>May 7, 2026</w:t>
              </w:r>
            </w:hyperlink>
            <w:r>
              <w:rPr>
                <w:rFonts w:ascii="Times New Roman" w:hAnsi="Times New Roman"/>
                <w:sz w:val="20"/>
              </w:rPr>
              <w:t xml:space="preserve"> and for the quarter ended June  30, 2026, filed with the SEC on </w:t>
            </w:r>
            <w:hyperlink r:id="rId5">
              <w:r>
                <w:rPr>
                  <w:rStyle w:val="InternetLink"/>
                  <w:rFonts w:ascii="Times New Roman" w:hAnsi="Times New Roman"/>
                  <w:sz w:val="20"/>
                </w:rPr>
                <w:t>August 6, 2026</w:t>
              </w:r>
            </w:hyperlink>
            <w:r>
              <w:rPr>
                <w:rFonts w:ascii="Times New Roman" w:hAnsi="Times New Roman"/>
                <w:sz w:val="20"/>
              </w:rPr>
              <w:t xml:space="preserve"> (our “Quarterly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portions of our </w:t>
            </w:r>
            <w:hyperlink r:id="rId6">
              <w:r>
                <w:rPr>
                  <w:rStyle w:val="InternetLink"/>
                  <w:rFonts w:ascii="Times New Roman" w:hAnsi="Times New Roman"/>
                  <w:sz w:val="20"/>
                </w:rPr>
                <w:t>Definitive Proxy Statement on Schedule 14A</w:t>
              </w:r>
            </w:hyperlink>
            <w:r>
              <w:rPr>
                <w:rFonts w:ascii="Times New Roman" w:hAnsi="Times New Roman"/>
                <w:sz w:val="20"/>
              </w:rPr>
              <w:t xml:space="preserve"> that are incorporated by reference into our Annual Report, filed with the SEC on April 22,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February 25, 2026</w:t>
              </w:r>
            </w:hyperlink>
            <w:r>
              <w:rPr>
                <w:rFonts w:ascii="Times New Roman" w:hAnsi="Times New Roman"/>
                <w:sz w:val="20"/>
              </w:rPr>
              <w:t xml:space="preserve"> (except, with respect to the foregoing, for portions of such report which were deemed to be furnished and not filed), </w:t>
            </w:r>
            <w:hyperlink r:id="rId8">
              <w:r>
                <w:rPr>
                  <w:rStyle w:val="InternetLink"/>
                  <w:rFonts w:ascii="Times New Roman" w:hAnsi="Times New Roman"/>
                  <w:sz w:val="20"/>
                </w:rPr>
                <w:t>March 2, 2026</w:t>
              </w:r>
            </w:hyperlink>
            <w:r>
              <w:rPr>
                <w:rFonts w:ascii="Times New Roman" w:hAnsi="Times New Roman"/>
                <w:sz w:val="20"/>
              </w:rPr>
              <w:t xml:space="preserve">, </w:t>
            </w:r>
            <w:hyperlink r:id="rId9">
              <w:r>
                <w:rPr>
                  <w:rStyle w:val="InternetLink"/>
                  <w:rFonts w:ascii="Times New Roman" w:hAnsi="Times New Roman"/>
                  <w:sz w:val="20"/>
                </w:rPr>
                <w:t>March  11, 2026</w:t>
              </w:r>
            </w:hyperlink>
            <w:r>
              <w:rPr>
                <w:rFonts w:ascii="Times New Roman" w:hAnsi="Times New Roman"/>
                <w:sz w:val="20"/>
              </w:rPr>
              <w:t xml:space="preserve">, </w:t>
            </w:r>
            <w:hyperlink r:id="rId10">
              <w:r>
                <w:rPr>
                  <w:rStyle w:val="InternetLink"/>
                  <w:rFonts w:ascii="Times New Roman" w:hAnsi="Times New Roman"/>
                  <w:sz w:val="20"/>
                </w:rPr>
                <w:t>May  12, 2026</w:t>
              </w:r>
            </w:hyperlink>
            <w:r>
              <w:rPr>
                <w:rFonts w:ascii="Times New Roman" w:hAnsi="Times New Roman"/>
                <w:sz w:val="20"/>
              </w:rPr>
              <w:t xml:space="preserve">, </w:t>
            </w:r>
            <w:hyperlink r:id="rId11">
              <w:r>
                <w:rPr>
                  <w:rStyle w:val="InternetLink"/>
                  <w:rFonts w:ascii="Times New Roman" w:hAnsi="Times New Roman"/>
                  <w:sz w:val="20"/>
                </w:rPr>
                <w:t>June  4, 2026</w:t>
              </w:r>
            </w:hyperlink>
            <w:r>
              <w:rPr>
                <w:rFonts w:ascii="Times New Roman" w:hAnsi="Times New Roman"/>
                <w:sz w:val="20"/>
              </w:rPr>
              <w:t xml:space="preserve">, </w:t>
            </w:r>
            <w:hyperlink r:id="rId12">
              <w:r>
                <w:rPr>
                  <w:rStyle w:val="InternetLink"/>
                  <w:rFonts w:ascii="Times New Roman" w:hAnsi="Times New Roman"/>
                  <w:sz w:val="20"/>
                </w:rPr>
                <w:t>July  7, 2026</w:t>
              </w:r>
            </w:hyperlink>
            <w:r>
              <w:rPr>
                <w:rFonts w:ascii="Times New Roman" w:hAnsi="Times New Roman"/>
                <w:sz w:val="20"/>
              </w:rPr>
              <w:t xml:space="preserve"> and </w:t>
            </w:r>
            <w:hyperlink r:id="rId13">
              <w:r>
                <w:rPr>
                  <w:rStyle w:val="InternetLink"/>
                  <w:rFonts w:ascii="Times New Roman" w:hAnsi="Times New Roman"/>
                  <w:sz w:val="20"/>
                </w:rPr>
                <w:t>August 6,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securities (including the common stock) contained in </w:t>
            </w:r>
            <w:hyperlink r:id="rId14">
              <w:r>
                <w:rPr>
                  <w:rStyle w:val="InternetLink"/>
                  <w:rFonts w:ascii="Times New Roman" w:hAnsi="Times New Roman"/>
                  <w:sz w:val="20"/>
                </w:rPr>
                <w:t>Exhibit 4.2</w:t>
              </w:r>
            </w:hyperlink>
            <w:r>
              <w:rPr>
                <w:rFonts w:ascii="Times New Roman" w:hAnsi="Times New Roman"/>
                <w:sz w:val="20"/>
              </w:rPr>
              <w:t xml:space="preserve"> to our Annual Report, and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any filings made with the SEC in accordance with Sections 13(a), 13(c), 14 or 15(d) of the Exchange Act on or after the date of this prospectus supplement and before the date all of the securities offered hereby are sold or the offering is otherwise terminated, with the exception of any information that has been or is deemed to have been “furnished” but not “filed” under the Exchange Act, including information furnished under Item 2.02 or Item 7.01 (including any financial statements or exhibits relating thereto furnished pursuant to Item 9.01) of Form 8-K, which will not be incorporated by reference herein. Any such filings, or any portion of such filings as specified above, shall be deemed to be incorporated by reference and to be a part of this prospectus supplement from the respective dates of filing of those documents. Any statement contained in a document or report incorporated or deemed to be incorporated by reference herein shall be deemed to be modified or superseded for purposes of this prospectus supplement to the extent that a statement contained herein or in any subsequently filed document or report that also is or is deemed to be incorporated by reference herein modifies or supersedes such statement. Any such statement so modified or superseded shall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can obtain any of the filings incorporated by reference into this prospectus supplement through us or from the SEC through the SEC’s website at www.sec.gov. We will provide, without charge, to each person, including any beneficial owner, to whom a copy of this prospectus supplement is delivered, upon written or oral request of such person, a copy of any of the reports and documents referred to above that have been or will be incorporated by reference into this prospectus supplement. You should direct requests for those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LifeStance Health Group, Inc. </w:t>
      </w:r>
    </w:p>
    <w:p>
      <w:pPr>
        <w:pStyle w:val="TextBody"/>
        <w:bidi w:val="0"/>
        <w:spacing w:before="0" w:after="0"/>
        <w:jc w:val="center"/>
        <w:rPr>
          <w:rFonts w:ascii="Times New Roman" w:hAnsi="Times New Roman"/>
          <w:sz w:val="20"/>
        </w:rPr>
      </w:pPr>
      <w:r>
        <w:rPr>
          <w:rFonts w:ascii="Times New Roman" w:hAnsi="Times New Roman"/>
          <w:sz w:val="20"/>
        </w:rPr>
        <w:t xml:space="preserve">4800 N. Scottsdale Road, Suite 2500 </w:t>
      </w:r>
    </w:p>
    <w:p>
      <w:pPr>
        <w:pStyle w:val="TextBody"/>
        <w:bidi w:val="0"/>
        <w:spacing w:before="0" w:after="0"/>
        <w:jc w:val="center"/>
        <w:rPr>
          <w:rFonts w:ascii="Times New Roman" w:hAnsi="Times New Roman"/>
          <w:sz w:val="20"/>
        </w:rPr>
      </w:pPr>
      <w:r>
        <w:rPr>
          <w:rFonts w:ascii="Times New Roman" w:hAnsi="Times New Roman"/>
          <w:sz w:val="20"/>
        </w:rPr>
        <w:t xml:space="preserve">Scottsdale, Arizona 85251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investor.relations@lifestance.com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maintain an internet site at www.lifestance.com. Our SEC filings are also available free of charge at our website. Our website and the information contained on, or accessible through, our website shall not be deemed to be incorporated into this prospectus supplement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rom547222_3"/>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contained in this prospectus supplement or in our other documents that are incorporated by reference herein that are not purely historical are forward-looking statements within the meaning of Section 27A of the Securities Act of 1933, as amended (the “Securities Act”), and Section 21E of the Exchange Act, including statements regarding our expectations, hopes, intentions or strategies regarding the future. Forward-looking statements are neither historical facts nor assurances of future performance. Instead, they are based on our current beliefs, expectations and assumptions regarding the future of our business, future plans and strategies, and other future conditions. Forward-looking statements can be identified by words such as “anticipate,” “believe,” “envision,” “estimate,” “expect,” “intend,” “may,” “plan,” “predict,” “project,” “target,” “potential,” “will,” “would,” “could,” “should,” “continue,” “contemplate” and other similar expressions, although not all forward-looking statements contain these identifying words. For example, all statements we make relating to: our ability to grow our business, expand access to our patients and our payors and invest in our platform; our plan to partner with additional hospital systems, large primary care groups and other specialist groups; our expectation that we will continue to open new centers and acquire new centers; our growth rates and financial results; our plans and objectives for future operations, growth or initiatives and strategies; and our expected market opportunity are forward-looking statements.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reimbursement rates paid by third-party payors are reduced or if third-party payors otherwise restrain our ability to obtain or deliver care to patients, our business could be materially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grow at the rates we historically have achieved or at all, even if our key metrics may imply future growth, including if we are unable to successfully execute on our growth initiatives and business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manage our growth effectively, our expenses could increase more than expected, our revenue may not increase proportionally or at all, and we may be unable to execute on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growth depends on our ability to recruit, acquire and retain clinicians;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competitive industry, and if we are not able to compete effectively, our business and financial performance would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depends on our ability to effectively invest in, implement improvements to and properly maintain the uninterrupted operation and data integrity of our information technology and other business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on our relationships with supported practices, which we do not own, to provide healthcare services, and our business would be harmed if those relationships were disrupted or if our arrangements with these entities became subject to legal challenges;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adapt to healthcare reform legislation and other changes in the healthcare industry and in healthcare spending, our business could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or our vendors’ security measures fail or are breached and unauthorized access to our employees’, patients’ or partners’ data is obtained, our systems may be perceived as insecure, we may incur significant liabilities, including through private litigation or regulatory action, our reputation may be harmed, and we could lose patients and partners;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existing indebtedness could adversely affect our business and growth prospects;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set forth under “Risk Factors” in our Annual Report and Quarterly Reports, as amended, revised or supplemented by subsequent filings with the SEC that have been or will be incorporated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reasons described above, we caution you against placing undue reliance on any forward-looking statements, which should also be read in conjunction with the other cautionary statements that are incorporated by reference herein. Any forward-looking statement made by us in this prospectus supplement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supprom547222_4"/>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appearing elsewhere or incorporated by reference in this prospectus supplement and the accompanying prospectus and may not contain all the information you should consider before investing in our common stock. You should carefully read this entire prospectus supplement, including the sections entitled “Risk Factors,” “Management’s Discussion and Analysis of Financial Condition and Results of Operations,” our consolidated financial statements and the related notes thereto in our Annual Report and Quarterly Reports and the documents incorporated by reference herein, before deciding whether to invest in our common stock.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vision is a truly healthy society where mental and physical healthcare are unified to make lives better. Our mission is to help people lead healthier, more fulfilling lives by improving access to trusted, affordable and personalized mental healthcare. To fulfill this mission, we have built one of the nation’s largest outpatient mental health platforms based on the number of clinicians we employ through our subsidiaries and our supported practices and our geographic scale. We are dedicated to improving the lives of our patients by reimagining mental health through a tech-enabled in-person and virtual care delivery model built to expand access, address affordability, improve outcomes and lower overall healthcare costs. We combine a personalized, digitally-powered patient experience with differentiated clinical capabilities and in-network insurance relationships to fundamentally transform patient access and treatment. By revolutionizing the way mental healthcare is delivered, we believe we have an opportunity to improve the lives and health of millions of individuals.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employed 8,542 licensed mental health clinicians through our subsidiaries and supported practices in 33 states as of June 30, 2026. Our clinicians offer patients a comprehensive, multidisciplinary suite of mental health services, spanning psychiatric evaluations and treatment, psychological and neuropsychological testing, and individual, family and group therapy. We treat a broad range of mental health conditions, including anxiety, depression, bipolar disorder, eating disorders, psychotic disorders and post-traumatic stress disorder. Patients can receive care virtually through our online delivery platform or in-person at one of our conveniently located centers. Through our payor relationships, including national contracts with multiple payors, patients can utilize their in-network benefits when they receive care from one of our clinicians, enhancing access and affordability.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28, 2021, LifeStance Health Group, Inc. was incorporated in the state of Delaware. Our principal executive office is located at 4800 N. Scottsdale Road, Suite 2500, Scottsdale, Arizona 85251. Our telephone number is (602) 767-2100. Our website address is www.lifestance.com. The information contained on, or that can be accessed through, our website is not incorporated by reference into this filing, and you should not consider any information contained on, or that can be accessed through, our website as part of this filing. We are a holding company, and all of our business operations are conducted through our subsidiaries and supported practices.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is listed on Nasdaq under the symbol “LFST.”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Share Repurchase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the completion of this offering, we have agreed to purchase from the underwriter 2,000,000 shares of our common stock that are subject to this offering having an aggregate value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approximately $24,580,000 at a price per share equal to the price at which the underwriter is purchasing the shares from the selling stockholders in this offering. The terms and conditions of the Share Repurchase were reviewed and approved by a committee consisting of disinterested members of our Board of Directors. We intend to fund the Share Repurchase with cash on hand. The Share Repurchase will be completed under our share repurchase program announced on August 6, 2026, which does not obligate us to acquire any particular amount of common stock, has no end date, and may be modified, suspended or discontinued at any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closing of the Share Repurchase, we intend to retire the shares we purchase from the underwriter, and those shares of common stock will no longer be outstanding.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underwriter will not receive any compensation for the shares of common stock being repurchased by us. See “Underwriting.”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offering is not conditioned upon the completion of the Share Repurchase. However, the completion of the Share Repurchase is contingent on the closing of this offering, and therefore the Share Repurchase will not be consummated unless and until the closing of this offering occurs.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description and the other information in this prospectus supplement regarding the Share Repurchase are included in this prospectus supplement solely for informational purposes. Nothing in this prospectus supplement should be construed as an offer to sell, or the solicitation of an offer to buy, any shares of the common stock subject to the Share Repurchase.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6" w:name="supprom547222_5"/>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9" w:type="dxa"/>
            <w:tcBorders/>
          </w:tcPr>
          <w:p>
            <w:pPr>
              <w:pStyle w:val="TableContents"/>
              <w:bidi w:val="0"/>
              <w:spacing w:before="0" w:after="283"/>
              <w:jc w:val="left"/>
              <w:rPr/>
            </w:pPr>
            <w:r>
              <w:rPr/>
              <w:t xml:space="preserve">22,250,000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and the Share Repurchase: </w:t>
            </w:r>
          </w:p>
        </w:tc>
        <w:tc>
          <w:tcPr>
            <w:tcW w:w="6328" w:type="dxa"/>
            <w:tcBorders/>
          </w:tcPr>
          <w:p>
            <w:pPr>
              <w:pStyle w:val="TableContents"/>
              <w:bidi w:val="0"/>
              <w:spacing w:before="0" w:after="283"/>
              <w:jc w:val="left"/>
              <w:rPr/>
            </w:pPr>
            <w:r>
              <w:rPr/>
              <w:t xml:space="preserve">380,154,147 shares of common stock (taking into consideration the repurchase by us of 2,000,000 shares of our common stock from the selling stockholders in connection with the Share Repurchase).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 Repurchase: </w:t>
            </w:r>
          </w:p>
        </w:tc>
        <w:tc>
          <w:tcPr>
            <w:tcW w:w="6326" w:type="dxa"/>
            <w:tcBorders/>
          </w:tcPr>
          <w:p>
            <w:pPr>
              <w:pStyle w:val="TableContents"/>
              <w:bidi w:val="0"/>
              <w:spacing w:before="0" w:after="283"/>
              <w:jc w:val="left"/>
              <w:rPr/>
            </w:pPr>
            <w:r>
              <w:rPr/>
              <w:t xml:space="preserve">Subject to completion of this offering, we have agreed to repurchase 2,000,000 shares of our common stock from the underwriter having an aggregate value of approximately $24,580,000 at a price per share equal to the price paid by the underwriter to the selling stockholders in this offering. The Share Repurchase was reviewed and approved by a committee of disinterested members of our Board of Directors. We intend to fund the Share Repurchase with cash on hand. See “—Share Repurchase”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The selling stockholders will receive all of the proceeds from the sale of common stock in this offering. We will not receive any proceeds from the sale of shares of common stock by the selling stockholders.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You should carefully consider the information set forth herein under “Risk Factors” and the other information included or incorporated by reference in this prospectus supplement, including the “Risk Factors” in our Annual Report and Quarterly Reports, before deciding whether to purchase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trading symbol: </w:t>
            </w:r>
          </w:p>
        </w:tc>
        <w:tc>
          <w:tcPr>
            <w:tcW w:w="6330" w:type="dxa"/>
            <w:tcBorders/>
          </w:tcPr>
          <w:p>
            <w:pPr>
              <w:pStyle w:val="TableContents"/>
              <w:bidi w:val="0"/>
              <w:spacing w:before="0" w:after="283"/>
              <w:jc w:val="left"/>
              <w:rPr/>
            </w:pPr>
            <w:r>
              <w:rPr/>
              <w:t>“</w:t>
            </w:r>
            <w:r>
              <w:rPr/>
              <w:t xml:space="preserve">LFST”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to be outstanding after this offering as set forth above is based on 382,154,147 shares of common stock as of September 1, 2026, and except as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18,424,153 shares of our common stock issuable upon the vesting of our restricted stock units outstanding under the LifeStance Health Group, Inc. 2021 Equity Incentive Plan (the “2021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10,654,539 shares of our common stock issuable upon the exercise of options outstanding under the 2021 Plan with a weighted average exercise price of $7.37;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84,371,316 shares of our common stock reserved for issuance under the 2021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25,816,936 shares of our common stock reserved for issuance under the LifeStance Health Group, Inc. 2021 Employee Stock Purchase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rom547222_6"/>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risks. You should carefully review the risk factors and other cautionary statements described under the section entitled “Risk Factors” in our Annual Report and Quarterly Reports, which are incorporated by reference in this prospectus supplement, and any similar caption in the documents that we subsequently file with the SEC that are deemed to be incorporated by reference in this prospectus supplement, and in any free writing prospectus that we provide you in connection with this offering. The risks and uncertainties discussed in the documents referred to above, as well as other matters discussed in this prospectus supplement and in those documents, could materially and adversely affect our business, financial condition, liquidity, results of operations, prospects and the market price of the common stock. Moreover, the risks and uncertainties discussed in the foregoing documents are not the only risks and uncertainties that we face, and our business, financial condition, liquidity, results of operations, prospects and the market price of the common stock could be materially adversely affected by other matters that are not known to us or that we currently do not consider to be material risks to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Future sales of our common stock in the public market or the issuance of securities senior to our common stock could adversely affect the trading price of our common stock and our ability to raise funds in new stock offerings. </w:t>
      </w:r>
    </w:p>
    <w:p>
      <w:pPr>
        <w:pStyle w:val="TextBody"/>
        <w:bidi w:val="0"/>
        <w:spacing w:before="120" w:after="0"/>
        <w:jc w:val="left"/>
        <w:rPr>
          <w:rFonts w:ascii="Times New Roman" w:hAnsi="Times New Roman"/>
          <w:sz w:val="20"/>
        </w:rPr>
      </w:pPr>
      <w:r>
        <w:rPr>
          <w:rFonts w:ascii="Times New Roman" w:hAnsi="Times New Roman"/>
          <w:sz w:val="20"/>
        </w:rPr>
        <w:t xml:space="preserve">Sale of a substantial number of shares of our common stock in the public markets following this offering, or the perception that these sales might occur, could cause the market price of our common stock to decline or could impair our ability to raise capital through a future sale of, or pay for acquisitions using, our equity securities. In addition, the selling stockholders and certain other stockholders have certain registration rights that require us to register the sale of common stock held by them, including in connection with underwritten offerings. </w:t>
      </w:r>
    </w:p>
    <w:p>
      <w:pPr>
        <w:pStyle w:val="TextBody"/>
        <w:bidi w:val="0"/>
        <w:spacing w:before="240" w:after="0"/>
        <w:jc w:val="left"/>
        <w:rPr>
          <w:rFonts w:ascii="Times New Roman" w:hAnsi="Times New Roman"/>
          <w:sz w:val="20"/>
        </w:rPr>
      </w:pPr>
      <w:r>
        <w:rPr>
          <w:rFonts w:ascii="Times New Roman" w:hAnsi="Times New Roman"/>
          <w:sz w:val="20"/>
        </w:rPr>
        <w:t xml:space="preserve">We may issue common stock or equity securities senior to our common stock in the future for a number of reasons, including to finance our operations and business strategy, to adjust our ratio of debt-to-equity, as consideration in acquisitions or for other reasons. We cannot predict the effect, if any, that future sales or issuances of shares of our common stock or other equity securities, or the availability of shares of our common stock or any other equity securities for future sale or issuance, will have on the trading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of our common stock is volatile and may fluctuate significantly, which could negatively affect us and holders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is volatile and may fluctuate significantly in response to a number of factors, many of which are beyond our control. For instance, if our financial results are below the expectations of securities analysts and investors, the market price of our common stock could decrease, perhaps significantly. Other factors that may affect the market price of our common stock include announcements relating to significant corporate transactions; fluctuations in our quarterly and annual financial results; operating and stock price performance of companies that investors deem comparable to us; future sales by us or our subsidiaries of equity, equity-related or debt securities; the amount, if any, of dividends that we pay on our common stock; anticipated or pending investigations, proceedings or litigation that involve or affect us; changes in regional, national or global financial markets and economies and general market conditions, such as interest or foreign exchange rates, stock, commodity, credit or asset valuations or volatility; and changes in government regulation or proposals relating to us. In addition, the U.S. and global securities markets have experienced significant price and volume fluctuations. These fluctuations often have been unrelated to the operating performance of companies in these markets. Market fluctuations and broad market, economic and industry factors may negatively affect the price of our common stock, regardless of our operating performance. You may not be able to sell your shares of our common stock at or above the public offering price, or at all. Any volatility of or a significant decrease in the market price of our common stock could also negatively affect our ability to make acquisitions using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rom547222_7"/>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shares of our common stock sold in this offering will be sold by the selling stockholders. We will not receive any proceeds from the sale of shares of common stock by the selling stockholders. We have agreed to pay certain expenses related to this offering, other than underwriting discounts and commissions that will be borne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rom547222_8"/>
      <w:bookmarkEnd w:id="9"/>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show information as of September 1, 2026, regarding the beneficial ownership of our common stock by the selling stockholders and information with respect to the shares of common stock to be beneficially owned by the selling stockholders after the completion of this offering, including the Share Repurchase. The percentages of shares outstanding provided in the table are based on a total of 382,154,147 shares of common stock outstanding on September 1, 2026. The number of shares and percentages of beneficial ownership after this offering and the Share Repurchase set forth below are based on the number of shares of our common stock issued and outstanding immediately after the completion of this offering and the Share Repurchase assuming the selling stockholders sell 22,250,000 shares of common stock offered by this prospectus supplement, and assuming that the Share Repurchase of 2,000,000 shares is consummated shortly after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which generally includes any shares over which a person exercises sole or shared voting and/or investment power. A person is also deemed to be a beneficial owner of a security if that person has the right to acquire beneficial ownership of such security within 60 days. Except as otherwise indicated by the footnotes, the entities named in the table below have sole voting and investment power with respect to all shares of common stock held by the respective entity.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9"/>
        <w:gridCol w:w="170"/>
        <w:gridCol w:w="60"/>
        <w:gridCol w:w="1160"/>
        <w:gridCol w:w="60"/>
        <w:gridCol w:w="170"/>
        <w:gridCol w:w="137"/>
        <w:gridCol w:w="1015"/>
        <w:gridCol w:w="275"/>
        <w:gridCol w:w="114"/>
        <w:gridCol w:w="60"/>
        <w:gridCol w:w="1120"/>
        <w:gridCol w:w="60"/>
        <w:gridCol w:w="170"/>
        <w:gridCol w:w="60"/>
        <w:gridCol w:w="1160"/>
        <w:gridCol w:w="60"/>
        <w:gridCol w:w="169"/>
        <w:gridCol w:w="137"/>
        <w:gridCol w:w="1015"/>
        <w:gridCol w:w="284"/>
      </w:tblGrid>
      <w:tr>
        <w:trPr/>
        <w:tc>
          <w:tcPr>
            <w:tcW w:w="274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7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6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Before this Offering</w:t>
            </w:r>
          </w:p>
        </w:tc>
        <w:tc>
          <w:tcPr>
            <w:tcW w:w="275" w:type="dxa"/>
            <w:tcBorders/>
            <w:vAlign w:val="bottom"/>
          </w:tcPr>
          <w:p>
            <w:pPr>
              <w:pStyle w:val="TableContents"/>
              <w:bidi w:val="0"/>
              <w:spacing w:before="0" w:after="283"/>
              <w:jc w:val="left"/>
              <w:rPr/>
            </w:pPr>
            <w:r>
              <w:rPr/>
              <w:t> </w:t>
            </w:r>
          </w:p>
        </w:tc>
        <w:tc>
          <w:tcPr>
            <w:tcW w:w="114" w:type="dxa"/>
            <w:vMerge w:val="restart"/>
            <w:tcBorders/>
            <w:vAlign w:val="bottom"/>
          </w:tcPr>
          <w:p>
            <w:pPr>
              <w:pStyle w:val="TableContents"/>
              <w:bidi w:val="0"/>
              <w:spacing w:before="0" w:after="283"/>
              <w:jc w:val="left"/>
              <w:rPr/>
            </w:pPr>
            <w:r>
              <w:rPr/>
              <w:t> </w:t>
            </w:r>
          </w:p>
        </w:tc>
        <w:tc>
          <w:tcPr>
            <w:tcW w:w="118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Shares</w:t>
            </w:r>
            <w:r>
              <w:rPr/>
              <w:br/>
            </w:r>
            <w:r>
              <w:rPr>
                <w:b/>
              </w:rPr>
              <w:t>Offered</w:t>
              <w:br/>
              <w:t>Hereby</w:t>
            </w:r>
          </w:p>
        </w:tc>
        <w:tc>
          <w:tcPr>
            <w:tcW w:w="60" w:type="dxa"/>
            <w:vMerge w:val="restart"/>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6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After this Offering and the</w:t>
              <w:br/>
              <w:t>Share Repurchase(1)</w:t>
            </w:r>
          </w:p>
        </w:tc>
        <w:tc>
          <w:tcPr>
            <w:tcW w:w="284" w:type="dxa"/>
            <w:tcBorders/>
            <w:vAlign w:val="bottom"/>
          </w:tcPr>
          <w:p>
            <w:pPr>
              <w:pStyle w:val="TableContents"/>
              <w:bidi w:val="0"/>
              <w:spacing w:before="0" w:after="283"/>
              <w:jc w:val="left"/>
              <w:rPr/>
            </w:pPr>
            <w:r>
              <w:rPr/>
              <w:t> </w:t>
            </w:r>
          </w:p>
        </w:tc>
      </w:tr>
      <w:tr>
        <w:trPr/>
        <w:tc>
          <w:tcPr>
            <w:tcW w:w="27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17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114" w:type="dxa"/>
            <w:vMerge w:val="continue"/>
            <w:tcBorders/>
            <w:vAlign w:val="bottom"/>
          </w:tcPr>
          <w:p>
            <w:pPr>
              <w:pStyle w:val="Normal"/>
              <w:bidi w:val="0"/>
              <w:jc w:val="left"/>
              <w:rPr/>
            </w:pPr>
            <w:r>
              <w:rPr/>
            </w:r>
          </w:p>
        </w:tc>
        <w:tc>
          <w:tcPr>
            <w:tcW w:w="118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7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4"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TPG VIII Lynnwood Holdings Aggregation, L.P.(2)</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98,101,407</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25.7</w:t>
            </w:r>
          </w:p>
        </w:tc>
        <w:tc>
          <w:tcPr>
            <w:tcW w:w="27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18,409,705</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79,691,702</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21.0</w:t>
            </w:r>
          </w:p>
        </w:tc>
        <w:tc>
          <w:tcPr>
            <w:tcW w:w="284"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Summit Partners and its affiliates(3)</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20,464,119</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3,840,295</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16,623,824</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4.4</w:t>
            </w:r>
          </w:p>
        </w:tc>
        <w:tc>
          <w:tcPr>
            <w:tcW w:w="28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Gives effect to the repurchase by us from the underwriter of 2,000,000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TPG VIII Lynnwood Holdings Aggregation, L.P., a Delaware limited partnership, directly holds 98,101,407 shares of common stock. The general partner of TPG VIII Lynnwood Holdings Aggregation, L.P. is TPG GenPar VIII, L.P., a Delaware limited partnership, whose general partner is TPG GenPar VIII Advisors, LLC, a Delaware limited liability company, whose sole member is TPG Operating Group I, L.P., a Delaware limited partnership, whose general partner is TPG Holdings I-A, LLC, a Delaware limited liability company, whose sole member is TPG Operating Group II, L.P., a Delaware limited partnership, whose general partner is TPG Holdings II-A, LLC, a Delaware limited liability company, whose sole member is TPG GPCo, LLC, a Delaware limited liability company, whose sole member is TPG Inc., a Delaware corporation, over whose shares of Class B common stock (which represent a majority of the combined voting power of the common stock) TPG GP A, LLC, a Delaware limited liability company, exercises direct or indirect control. TPG GP A, LLC is controlled by entities owned by James G. Coulter and Jon Winkelried. Messrs. Coulter and Winkelried disclaim beneficial ownership of the securities held by TPG VIII Lynnwood Holdings Aggregation, L.P., except to the extent of their pecuniary interest therein, if any. The address of each of TPG GP A, LLC and Messrs. Coulter and Winkelried is c/o TPG Inc., 301 Commerce Street, Suite 3300, Fort Worth, Texas 76102.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Summit Partners, L.P. has shared voting and dispositive power with respect to 20,464,119 shares, Summit Partners Growth Equity Fund IX-A, L.P. has shared voting and dispositive power with respect to 12,531,380 shares, Summit Partners Growth Equity Fund IX-B, L.P. has shared voting and dispositive power with respect to 7,824,420 shares, Summit Investors GE IX/VC IV (UK), L.P. has shared voting and dispositive power with respect to 9,151 shares, Summit Partners Entrepreneur Advisors Fund II, L.P. has shared voting and dispositive power with respect to 11,694 shares, and Summit Investors GE IX/VC IV, LLC has shared voting and dispositive power with respect to 87,474 shares. In this offering: (a) Summit Partners Growth Equity Fund IX-A, L.P. will sell 2,351,638 shares; (b) Summit Partners Growth Equity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Fund IX-B, L.P. will sell 1,468,330 shares; (c) Summit Investors GE IX/VC IV, LLC will sell 16,415 shares; (d) Summit Partners Entrepreneur Advisors Fund II, L.P. will sell 2,195 shares; and (e) Summit Investors GE IX/VC IV (UK), L.P. will sell 1,717 shares. The principal business address of the foregoing persons is 222 Berkeley Street, 18th Floor, Boston, MA 02116.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rom547222_9"/>
      <w:bookmarkEnd w:id="10"/>
      <w:r>
        <w:rPr>
          <w:rFonts w:ascii="Times New Roman" w:hAnsi="Times New Roman"/>
          <w:b/>
          <w:sz w:val="20"/>
        </w:rPr>
        <w:t xml:space="preserve">MATERIAL U.S. FEDERAL INCOME TAX CONSIDERATIONS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U.S. federal income and estate tax consequences of the ownership and disposition of shares of our common stock as of the date hereof. Except where noted, this summary deals only with common stock that is held as a capital asset by a non-U.S. holder (as defined below).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means a beneficial owner of shares of our common stock (other than an entity treated as a partnership for U.S. federal income tax purposes) that is not,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is based upon provisions of the U.S. Internal Revenue Code of 1986, as amended (the “Code”), and regulations, rulings and judicial decisions as of the date hereof. Those authorities may be changed, perhaps retroactively, so as to result in U.S. federal income and estate tax consequences different from those summarized below. This summary does not address all aspects of U.S. federal income and estate taxes and does not deal with non-U.S.,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“controlled foreign corporation,” “passive foreign investment company” or a partnership or other pass-through entity for U.S. federal income tax purposes). We cannot assure you that a change in law will not alter significantly the tax considerations that we describe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If an entity treated as a partnership for U.S. federal income tax purposes holds shares of our common stock, the tax treatment of a partner will generally depend upon the status of the partner and the activities of the partnership. If you are a partner of a partnership holding our common stock, you should consult your tax advisors.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consult your own tax advisors concerning the particular U.S. federal income and estate tax consequences to you of the ownership and disposition of our common stock, as well as the consequences to you arising under other U.S. federal tax laws and the laws of any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we make a distribution of cash or other property (other than certain pro rata distributions of our common stock) in respect of shares of our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common stock, and to the extent the amount of the distribution exceeds a non-U.S. holder’s adjusted tax basis in shares of our common stock, the excess will be treated as gain from the disposition of shares of our common stock (the tax treatment of which is discussed below under “—Gain on Disposition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Dividends paid to a non-U.S. holder generally will be subject to withholding of U.S. federal income tax at a 30% rate or such lower rate as may be specified by an applicable income tax treaty, subject to the discussion of FATCA (as defined herein) below under “—Additional Withholding Requirements.” However, dividends that are effectively connected with the conduct of a trade or business by the non-U.S. holder within the United States (and, if required by an applicable income tax treaty, are attributable to a U.S. permanent establishment or fixed base) are not subject to the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who wishes to claim the benefit of an applicable treaty rate and avoid backup withholding, as discussed below, for dividends will be required (a) to provide the applicable withholding agent with a properly executed Internal Revenue Service (“IRS”)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eligible for a reduced rate of U.S. federal withholding tax pursuant to an income tax treaty may obtain a refund of any excess amounts withheld by timely filing an appropriate claim for refund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and FATCA (as defined herein), any gain realized by a non-U.S. holder on the sale or other disposition of our common stock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of the non-U.S. holder in the United States (and, if required by an applicable income tax treaty, is attributable to a U.S. permanent establishment of the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that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“U.S. real property holding corporation” for U.S. federal income tax purposes at any time during the shorter of the five-year period ending on the date of that disposition or the period that the non-U.S. holder held our common stock, and, in the case where our common stock is considered regularly traded on an established securities market for this purpose, the non-U.S. holder has owned, directly or constructively, more than 5% of our common stock at any time within such period. There can be no assurance that our common stock will be treated as regularly traded on an established securities market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 situation in the first bullet point or the third bullet point immediately above, a non-U.S. holder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realized in the same year even though the individual is not considered a resident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 Information Reporting and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will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common stock. An intergovernmental agreement between the United States and an applicable foreign country may modify these requirements.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rom547222_10"/>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Barclays Capital Inc. is acting as the underwriter in this offering. We and the selling stockholders have entered into an underwriting agreement with the underwriter. Subject to the terms and conditions of the underwriting agreement, the selling stockholders have agreed to sell to the underwriter, and the underwriter has agreed to purchase, at a price of $12.29 per share, the number of shares of common stock listed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29"/>
        <w:gridCol w:w="554"/>
        <w:gridCol w:w="97"/>
        <w:gridCol w:w="1797"/>
        <w:gridCol w:w="62"/>
      </w:tblGrid>
      <w:tr>
        <w:trPr/>
        <w:tc>
          <w:tcPr>
            <w:tcW w:w="4429" w:type="dxa"/>
            <w:tcBorders/>
            <w:vAlign w:val="center"/>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429" w:type="dxa"/>
            <w:tcBorders/>
            <w:vAlign w:val="bottom"/>
          </w:tcPr>
          <w:p>
            <w:pPr>
              <w:pStyle w:val="TableContents"/>
              <w:bidi w:val="0"/>
              <w:spacing w:before="0" w:after="283"/>
              <w:jc w:val="left"/>
              <w:rPr>
                <w:b/>
              </w:rPr>
            </w:pPr>
            <w:r>
              <w:rPr>
                <w:b/>
              </w:rPr>
              <w:t>Underwriter</w:t>
            </w:r>
          </w:p>
        </w:tc>
        <w:tc>
          <w:tcPr>
            <w:tcW w:w="554" w:type="dxa"/>
            <w:tcBorders/>
            <w:vAlign w:val="bottom"/>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2" w:type="dxa"/>
            <w:tcBorders/>
            <w:vAlign w:val="bottom"/>
          </w:tcPr>
          <w:p>
            <w:pPr>
              <w:pStyle w:val="TableContents"/>
              <w:bidi w:val="0"/>
              <w:spacing w:before="0" w:after="283"/>
              <w:jc w:val="left"/>
              <w:rPr/>
            </w:pPr>
            <w:r>
              <w:rPr/>
              <w:t> </w:t>
            </w:r>
          </w:p>
        </w:tc>
      </w:tr>
      <w:tr>
        <w:trPr/>
        <w:tc>
          <w:tcPr>
            <w:tcW w:w="4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5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22,250,000</w:t>
            </w:r>
          </w:p>
        </w:tc>
        <w:tc>
          <w:tcPr>
            <w:tcW w:w="62" w:type="dxa"/>
            <w:tcBorders/>
            <w:shd w:fill="CCEEFF" w:val="clear"/>
            <w:vAlign w:val="bottom"/>
          </w:tcPr>
          <w:p>
            <w:pPr>
              <w:pStyle w:val="TableContents"/>
              <w:bidi w:val="0"/>
              <w:spacing w:before="0" w:after="283"/>
              <w:jc w:val="left"/>
              <w:rPr/>
            </w:pPr>
            <w:r>
              <w:rPr/>
              <w:t> </w:t>
            </w:r>
          </w:p>
        </w:tc>
      </w:tr>
      <w:tr>
        <w:trPr/>
        <w:tc>
          <w:tcPr>
            <w:tcW w:w="442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22,250,000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 is committed to purchase all the shares of common stock offered by the selling stockholders if it purchases any shares. The underwriting agreement also provides that if the underwriter defaults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may offer the shares of common stock offered by this prospectus supplement from time to time, other than shares subject to the Share Repurchase, at market prices prevailing at the time of sale, at prices related to such prevailing market prices, at negotiated prices, at fixed prices or at prices that may be subject to change. The underwriter may effect such transactions by selling shares of common stock to or through dealers, and such dealers may receive compensation in the form of discounts, concessions or commissions from the underwriter and/or purchasers of shares of common stock for whom they may act as agents or to whom they may sell as principal. The difference between the price at which the underwriter purchases shares and the price at which the underwriter resells such shares may be deemed underwriting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proposes to offer the 20,250,000 shares of common stock (taking into consideration the repurchase by us of 2,000,000 shares of our common stock from the selling stockholders in connection with the Share Repurchase) at a public offering price of $12.35 per share.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$500,000. We have agreed to reimburse the underwriter for expenses relating to the clearance of this offering with the FINRA up to $15,000.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in electronic format may be made available on the website maintained by the underwriter. The underwriter may agree to allocate a number of shares to underwriters and selling group members for sale to their online brokerage account holders. Internet distributions will be allocated by the underwriter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all of our directors and officers and the selling stockholders have agreed that, without the prior written consent of the underwriter, we and they will not, and will not publicly disclose an intention to, during the period ending 75 days after the date of this prospectus supplement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any common stock (such securities, together with the common stock, the “Restricted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any Restricted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any registration statement with the SEC relating to the offering of Restricted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In addition, we and each such person agrees that, without the prior written consent of the underwriter, we or such other person will not, during the Restricted Period, make any demand for, or exercise any right with respect to, the registration of any Restricted Securities; provided that, to the extent such person has demand and/or piggyback registration rights, the foregoing shall not prohibit such person from notifying us privately that it is or will be exercising its demand and/or piggyback registration rights following the expiration of the Restricted Period and undertaking any preparations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(the “Lock-Up Restrictions”)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relating to Restricted Securities acquired in open market transactions after the completion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Restricted Securities as a bona fide gift or to a charitable organization or non-profit educational institution in a transaction not involving a disposition of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Restricted Securities (i) as a result of the operation of law through estate, other testamentary document or intestate succession, (ii) to any immediate family member of the lock-up party or any trust for the direct or indirect benefit of the lock-up party or any immediate family member of the lock-up party, (iii) pursuant to a court order, qualified domestic order or in connection with a divorce settlement; provided that such Restricted Securities remain subject to the Lock-Up Restrictions, and, in the case of transfers under the foregoing clause (iii) only, if the lock-up party is required to file a report under Section 16(a) of the Exchange Act reporting a reduction in beneficial ownership of shares of common stock during the Restricted Period, the lock-up party shall include a statement in such report to the effect that such transfer occurred by operation of law or pursuant to a court order, qualified domestic order or in connection with a divorce settlement, as applicable; provided further, that no other public announcement or filing related to such transfer shall be required or shall be voluntarily made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of Restricted Securities to limited partners, members, nominees, stockholders or holders of similar equity interests in the lock-up party not involving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Restricted Securities to a corporation, partnership, limited liability company, investment fund or other entity that directly, or indirectly through one or more intermediaries, controls or is controlled by, or is under common control with, the lock-up party, or is wholly owned by the lock-up party and/or by members of the immediate family of the lock-up party, or, in the case of an investment fund, that is managed by, or is under common management with, the lock-up party; provided that if the lock-up party is required to file a report under Section 16(a) of the Exchange Act during the Restricted Period, the lock-up party shall include a statement in any such report regarding the circumstances of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us in connection with the exercise or settlement of stock options, restricted stock units or other equity awards pursuant to any plan or agreement granting such an award to our or our affiliates’ employees or other service providers as described in the registration statement on Form S-3 or any prospectus or preliminary prospectus related to this offering (including in filings with the SEC that are incorporated by reference herein); provided that any remaining shares of common stock received upon such exercise or settlement will be subject to the Lock-Up Restrictions; and provided further that if the lock-up party is required to file a report under Section 16(a) of the Exchange Act during the Restricted Period, the lock-up party shall include a statement in any such report to the effect that (i) such transfer is in connection with the vesting or settlement of restricted stock units or incentive units, or the “net” or “cashless” exercise of options or other rights to purchase shares of common stock, as applicable, and (ii) the transaction was only with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dispositions to us upon our exercise of our right to repurchase or reacquire the lock-up party’s Restricted Securities in the event the lock-up party ceases to provide services to us pursuant to agreements in effect on the date of and as described in the registration statement on Form S-3 or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prospectus related to this offering (including in filings with the SEC that are incorporated by reference herein), that permit us to repurchase or reacquire, at cost, such securities upon termination of the lock up party’s services to us or our affiliates; provided that any filing under Section 16(a) of the Exchange Act relating to such disposition shall clearly indicate in the footnotes thereto that the Restricted Securities were repurchased or reacquired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pursuant to a bona fide third party tender offer, merger, consolidation or other similar transaction made to all holders of common stock involving a “change of control” (as defined below) of us that occurs after the consummation of this offering, is open to all holders of our capital stock and has been approved by our Board of Directors; provided, that if such change of control is not consummated, such shares shall remain subject to the Lock-Up Restrictions (for the purposes of this exception, a “change of control” is defined as any bona fide third party tender offer, merger, consolidation or other similar transaction the result of which is that any “person” (as defined in Section 13(d)(3) of the Exchange Act), or group of persons, other than us, becomes or would become the beneficial owner (as defined in Rules 13d-3 and 13d-5 of the Exchange Act) of 50% or more of the total voting power of the voting stock of us or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permitted by our bylaws, corporate policies and applicable laws, the establishment of a trading plan on behalf of any of our stockholders, officers or directors pursuant to Rule 10b5-1 under the Exchange Act for the transfer of shares of common stock (a “10b5-1 Plan”), provided that (i) such plan does not provide for the transfer of shares of common stock during the Restricted Period and (ii)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shares of common stock may be made under such plan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transfer of shares of common stock pursuant to a 10b5-1 Plan in effect as of the date hereof (an “Existing Plan”), provided that (i) such Existing Plan will not be amended or otherwise modified to increase the shares of common stock scheduled for sale thereunder during the Restricted Period and (ii) to the extent a public filing under the Exchange Act, if any, is required in connection with such sale or transfer, such filing shall include a statement to the effect that the sale or transfer was made pursuant to such Existing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pledges to any third-party pledgee in a </w:t>
            </w:r>
            <w:r>
              <w:rPr>
                <w:rFonts w:ascii="Times New Roman" w:hAnsi="Times New Roman"/>
                <w:i/>
                <w:sz w:val="20"/>
              </w:rPr>
              <w:t>bona fide</w:t>
            </w:r>
            <w:r>
              <w:rPr>
                <w:rFonts w:ascii="Times New Roman" w:hAnsi="Times New Roman"/>
                <w:sz w:val="20"/>
              </w:rPr>
              <w:t xml:space="preserve">, arm’s length transaction, to the extent necessary for bona fide business purposes, as collateral to secure obligations pursuant to lending or other arrangements between such third parties (or their affiliates or designees) and the undersigned and/or its affiliates or any similar arrangement relating to a financing agreement for the benefit of the undersigned and or its affiliates, </w:t>
            </w:r>
            <w:r>
              <w:rPr>
                <w:rFonts w:ascii="Times New Roman" w:hAnsi="Times New Roman"/>
                <w:i/>
                <w:sz w:val="20"/>
              </w:rPr>
              <w:t xml:space="preserve">provided </w:t>
            </w:r>
            <w:r>
              <w:rPr>
                <w:rFonts w:ascii="Times New Roman" w:hAnsi="Times New Roman"/>
                <w:sz w:val="20"/>
              </w:rPr>
              <w:t xml:space="preserve">that the terms of such pledge shall provide that the underlying Restricted Securities may not be transferred to the pledgee until the expiration of the Restricted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shares of common stock by the selling stockholders to the underwriter in connection with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in the case of any gift, transfer, distribution or pledge pursuant to clause (b), (c), (d), (e) or (k), each donee, transferee, distributee or pledgee, as applicable, shall sign and deliver a lock-up agreement substantially in the form thereof attached to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Lock-Up Restrictions also do not apply to us with respect to certain transactions, including (A) the issuance by us of common stock upon the exercise of an option or warrant or the conversion of a security outstanding on the date of this prospectus supplement, (B) facilitating the establishment of a trading plan on behalf of a shareholder, officer or director of our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filing shall include a statement to the effect that no transfer of common stock may be made under such plan during the Restricted Period, (C) the grant by us of awards under equity incentive plans (including employee stock purchase plans) or other similar arrangements, (D) the filing of a registration statement on Form S-8 (or the equivalent form) with the SEC in connection with an employee stock compensation plan or agreement of our Company and (E) the issuance of shares of common stock or other securities (including securities convertible into shares of common stock) in connection with the acquisition by us or any of our subsidiaries of the securities, businesses, joint ventures, products or technologies, properties or other assets of another person or entity or pursuant to any equity incentive plan or arrangement, or any employee benefit plan, assumed by us in connection with any such transaction (or any equity incentive plan or arrangement, or any employee benefit plan, to the extent used to issue awards, substitute awards or securities related to any such transaction); provided that the aggregate amount of Restricted Securities (on an as converted, as exercised or as exchanged basis) that we may sell or issue or agree to sell or issue pursuant to clause (E) shall not exceed 10% of the total number of shares of our common stock issued and outstanding immediately following the completion of the transactions contemplated by the underwriting agreement determined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in its sole discretion, may release the common stock and other securities subject to the lock-up agreements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Nasdaq under the symbol “LFST.”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expect to deliver the shares against payment for the shares on or about the date specified in the last paragraph of the cover page of this prospectus supplement, which will be the second business day following the date of this prospectus supplement. Under Rule 15c6-1 of the Securities Exchange Act, trades in the secondary market generally are required to settle in one business day, unless the parties to a trade expressly agree otherwise. Accordingly, purchasers who wish to trade the shares prior to the business day preceding the settlement date will be required, by virtue of the fact that the shares initially will settle in T+2, to specify alternative settlement arrangements to prevent a failed settlement. Purchasers of shares who wish to trade the shares prior to the business day preceding the settlement date should consult their own advisors.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 the sale by the underwriter of a greater number of shares than it is required to purchase in the offering, and a short position represents the amount of such sales that have not been covered by subsequent purchases. Given the underwriter does not have an option to purchase additional shares from us or from the selling stockholders, all such short sales are “naked” short sales. As a result, the underwriter must cover any short positions by purchasing shares in the open market. A short position is more likely to be created if the underwriter is concerned that there may be downward pressure on the price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advised us that, pursuant to Regulation M of the Securities Act, it may also engage in other activities that stabilize, maintain or otherwise affect the price of the common stock, including the imposition of penalty bids. This means that if the underwriter purchases common stock in the open market in stabilizing transactions or to cover short sales, the underwriter that sold those shares as part of this offering may be required to repay the underwriting discount received by them. 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Nasdaq, in the over-the-counter market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than in the United States, no action has been taken by us, the selling stockholders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and its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 The underwriter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provided, and may in the future provide, a variety of these services to the us and to persons and entities with relationships with us, for which they received or will receive customary fees and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of common stock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our shares of common stock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underwriter;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provided that no such offer of the shares of common stock shall require us or the underwriter to publish a prospectus pursuant to Article 3 of the Prospectus Regulation or supplement a prospectus pursuant to Article 23 of the Prospectus Regulation and each person in a Relevant State who initially acquires our shares of common stock or to whom any offer is made will be deemed to have represented, acknowledged and agreed to and with the underwriter and the Company that it is a “qualified investor” within the meaning of Article 2(e) of the Prospectus Regulation. In the case of the shares of 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the shares of common stock to the public other than their offer or resale in a Relevant State to qualified investors as so defined or in circumstances in which the prior consent of the underwriter has been obtained to each such proposed offer or resale.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of common stock in any Relevant State means the communication in any form and by any means of sufficient information on the terms of the offer and the shares of common stock to be offered so as to enable an investor to decide to purchase or subscribe for the shares of common stock, and the expression “Prospectus Regulation” means Regulation (EU) 2017/1129. </w:t>
      </w:r>
    </w:p>
    <w:p>
      <w:pPr>
        <w:pStyle w:val="TextBody"/>
        <w:bidi w:val="0"/>
        <w:spacing w:before="240" w:after="0"/>
        <w:jc w:val="left"/>
        <w:rPr>
          <w:rFonts w:ascii="Times New Roman" w:hAnsi="Times New Roman"/>
          <w:sz w:val="20"/>
        </w:rPr>
      </w:pPr>
      <w:r>
        <w:rPr>
          <w:rFonts w:ascii="Times New Roman" w:hAnsi="Times New Roman"/>
          <w:sz w:val="20"/>
        </w:rPr>
        <w:t xml:space="preserve">The above selling restriction is in addition to any other selling restrictions set out below. In connection with the offering, the underwriter is not acting for anyone other than the selling stockholders and will not be responsible to anyone other than the selling stockholders for providing the protections afforded to its clients nor for providing advice in relation to the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None of the securities offered hereby have been offered or will be offered pursuant to this offering to the public in the United Kingdom except that the securities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in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persons (other than qualified investors as defined in paragraph 15 of Schedule 1 of the POATR),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Part 1 of Schedule 1 of the POATR.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securities offered hereby in the United Kingdom means the communication to any person which presents sufficient information on: (a) the securities to be offered; and (b) the terms on which they are to be offered, to enable an investor to decide to buy or subscribe for the securities, and the expression “POATR” means the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prospectus supplement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Any person in the United Kingdom who is not a relevant person should not act or rely on the information included in this prospectus supplement or use it as basis for taking any action. In the United Kingdom, any investment or investment activity that this prospectus supplement relates to may be made or taken exclusively by relevant persons. </w:t>
      </w:r>
    </w:p>
    <w:p>
      <w:pPr>
        <w:pStyle w:val="TextBody"/>
        <w:bidi w:val="0"/>
        <w:spacing w:before="360" w:after="0"/>
        <w:jc w:val="left"/>
        <w:rPr>
          <w:rFonts w:ascii="Times New Roman" w:hAnsi="Times New Roman"/>
          <w:i/>
          <w:sz w:val="20"/>
        </w:rPr>
      </w:pPr>
      <w:r>
        <w:rPr>
          <w:rFonts w:ascii="Times New Roman" w:hAnsi="Times New Roman"/>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 is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 </w:t>
      </w:r>
    </w:p>
    <w:p>
      <w:pPr>
        <w:pStyle w:val="TextBody"/>
        <w:bidi w:val="0"/>
        <w:spacing w:before="360" w:after="0"/>
        <w:jc w:val="left"/>
        <w:rPr>
          <w:rFonts w:ascii="Times New Roman" w:hAnsi="Times New Roman"/>
          <w:i/>
          <w:sz w:val="20"/>
        </w:rPr>
      </w:pPr>
      <w:r>
        <w:rPr>
          <w:rFonts w:ascii="Times New Roman" w:hAnsi="Times New Roman"/>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acknowledged that this prospectus supplement has not been registered as a prospectus with the Monetary Authority of Singapore. Accordingly, the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or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Where the shares are subscribed or purchased under Section 275 of the SFA by a relevant person which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p>
      <w:pPr>
        <w:pStyle w:val="TextBody"/>
        <w:bidi w:val="0"/>
        <w:spacing w:before="360" w:after="0"/>
        <w:jc w:val="left"/>
        <w:rPr>
          <w:rFonts w:ascii="Times New Roman" w:hAnsi="Times New Roman"/>
          <w:i/>
          <w:sz w:val="20"/>
        </w:rPr>
      </w:pPr>
      <w:r>
        <w:rPr>
          <w:rFonts w:ascii="Times New Roman" w:hAnsi="Times New Roman"/>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of our common stock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product disclosure document or a prospectus under Chapter 6D.2 of the Corporations Act 2001 (Cth), or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or Exempt Investors, available under section 708 of the Corporations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any offer of shares of common stock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i/>
          <w:sz w:val="20"/>
        </w:rPr>
      </w:pPr>
      <w:r>
        <w:rPr>
          <w:rFonts w:ascii="Times New Roman" w:hAnsi="Times New Roman"/>
          <w:i/>
          <w:sz w:val="20"/>
        </w:rPr>
        <w:t xml:space="preserve">Dubai International Financial Centre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or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i/>
          <w:sz w:val="20"/>
        </w:rPr>
      </w:pPr>
      <w:r>
        <w:rPr>
          <w:rFonts w:ascii="Times New Roman" w:hAnsi="Times New Roman"/>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of our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 </w:t>
      </w:r>
    </w:p>
    <w:p>
      <w:pPr>
        <w:pStyle w:val="TextBody"/>
        <w:bidi w:val="0"/>
        <w:spacing w:before="360" w:after="0"/>
        <w:jc w:val="left"/>
        <w:rPr>
          <w:rFonts w:ascii="Times New Roman" w:hAnsi="Times New Roman"/>
          <w:i/>
          <w:sz w:val="20"/>
        </w:rPr>
      </w:pPr>
      <w:r>
        <w:rPr>
          <w:rFonts w:ascii="Times New Roman" w:hAnsi="Times New Roman"/>
          <w:i/>
          <w:sz w:val="20"/>
        </w:rPr>
        <w:t xml:space="preserve">Israel </w:t>
      </w:r>
    </w:p>
    <w:p>
      <w:pPr>
        <w:pStyle w:val="TextBody"/>
        <w:bidi w:val="0"/>
        <w:spacing w:before="120" w:after="0"/>
        <w:jc w:val="left"/>
        <w:rPr>
          <w:rFonts w:ascii="Times New Roman" w:hAnsi="Times New Roman"/>
          <w:sz w:val="20"/>
        </w:rPr>
      </w:pPr>
      <w:r>
        <w:rPr>
          <w:rFonts w:ascii="Times New Roman" w:hAnsi="Times New Roman"/>
          <w:sz w:val="20"/>
        </w:rPr>
        <w:t xml:space="preserve">This document does not constitute a prospectus under the Israeli Securities Law, 5728-1968, or the Israeli Securities Law, and has not been filed with or approved by the Israel Securities Authority. In Israel, this prospectus supplement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rom547222_11"/>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Ropes &amp; Gray LLP, Boston, MA, will pass upon the validity of the common stock offered by this prospectus supplement. Kirkland &amp; Ellis LLP, New York, NY, will act as counsel to the underwriter. </w:t>
      </w:r>
    </w:p>
    <w:p>
      <w:pPr>
        <w:pStyle w:val="TextBody"/>
        <w:bidi w:val="0"/>
        <w:spacing w:before="480" w:after="0"/>
        <w:jc w:val="center"/>
        <w:rPr>
          <w:rFonts w:ascii="Times New Roman" w:hAnsi="Times New Roman"/>
          <w:b/>
          <w:sz w:val="20"/>
        </w:rPr>
      </w:pPr>
      <w:bookmarkStart w:id="13" w:name="supprom547222_12"/>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10-K for the year ended December 31, 2025 have been so incorporated in reliance on the report (which contains an adverse opinion on the effectiveness of the Company’s internal control over financial reporting)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781300" cy="6623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781300" cy="6623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LifeStance Health Group,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solely covers the resale by selling stockholders of shares of common stock, par value $0.01 per share (the “common stock”), of LifeStance Health Group, Inc. The selling stockholders, who will be named in a prospectus supplement, may offer and sell shares of common stock at any time and from time to time, in one or more offerings, together or separately, in amounts, at prices and on terms that will be determined at the time of any such offering.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describes the general manner in which these securities may be offered and sold. Each time any of the selling stockholders offer and sell shares of our common stock, such selling stockholders will provide the specific terms of any offering of these securities in a prospectus supplement or free writing prospectus. The applicable prospectus supplement may also add, update or change information contained in this prospectus with respect to that offering. You should carefully read this prospectus and any applicable prospectus supplement and free writing prospectus we or the selling stockholders may provide to you, as well as the documents incorporated and deemed to be incorporated by reference in this prospectus, before you invest.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may not be used to offer and sell shares of our common stock unless accompanied by a prospectus supplement or a free writing prospectus.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may sell any of these securities on a continuous or delayed basis directly, through agents, dealers or underwriters as designated from time to time, or through a combination of these methods. The selling stockholders reserve the sole right to accept, and any selling stockholder and any agents, dealers, underwriters reserve the right to reject, in whole or in part, any proposed purchase of these securities. The applicable prospectus supplement or free writing prospectus will set forth the names of the agents, dealers or underwriters, any applicable commissions or discounts payable to them and the specific terms of the plan of distribution. The names of the selling stockholders will be set forth in the applicable prospectus supplement or free writing prospectus. </w:t>
      </w:r>
    </w:p>
    <w:p>
      <w:pPr>
        <w:pStyle w:val="TextBody"/>
        <w:bidi w:val="0"/>
        <w:spacing w:before="240" w:after="0"/>
        <w:jc w:val="both"/>
        <w:rPr>
          <w:rFonts w:ascii="Times New Roman" w:hAnsi="Times New Roman"/>
          <w:sz w:val="20"/>
        </w:rPr>
      </w:pPr>
      <w:r>
        <w:rPr>
          <w:rFonts w:ascii="Times New Roman" w:hAnsi="Times New Roman"/>
          <w:sz w:val="20"/>
        </w:rPr>
        <w:t xml:space="preserve">We will not receive any proceeds from the sale of the shares of common stock by any selling stockholders. See the sections of this prospectus entitled “About this Prospectus” and “Plan of Distribution” for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Our common stock is listed on the Nasdaq Global Select Market (“Nasdaq”) under the symbol “LFST.” On May 20, 2024, the last sale price of our common stock as reported on Nasdaq was $7.51 per share. </w:t>
      </w:r>
    </w:p>
    <w:p>
      <w:pPr>
        <w:pStyle w:val="TextBody"/>
        <w:bidi w:val="0"/>
        <w:spacing w:before="240" w:after="0"/>
        <w:jc w:val="both"/>
        <w:rPr>
          <w:rFonts w:ascii="Times New Roman" w:hAnsi="Times New Roman"/>
          <w:sz w:val="20"/>
        </w:rPr>
      </w:pPr>
      <w:r>
        <w:rPr>
          <w:rFonts w:ascii="Times New Roman" w:hAnsi="Times New Roman"/>
          <w:sz w:val="20"/>
        </w:rPr>
        <w:t xml:space="preserve">Before you invest, you should carefully read this prospectus, any applicable prospectus supplement and information described under the headings “Where You Can Find More Information; Incorporation of Certain Documents by Reference.”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both"/>
        <w:rPr/>
      </w:pPr>
      <w:r>
        <w:rPr>
          <w:rFonts w:ascii="Times New Roman" w:hAnsi="Times New Roman"/>
          <w:b/>
          <w:sz w:val="24"/>
        </w:rPr>
        <w:t>Investing in our common stock involves risks. See “</w:t>
      </w:r>
      <w:hyperlink w:anchor="tx547222_5">
        <w:r>
          <w:rPr>
            <w:rStyle w:val="InternetLink"/>
            <w:rFonts w:ascii="Times New Roman" w:hAnsi="Times New Roman"/>
            <w:b/>
            <w:sz w:val="24"/>
          </w:rPr>
          <w:t>Risk Factors</w:t>
        </w:r>
      </w:hyperlink>
      <w:r>
        <w:rPr>
          <w:rFonts w:ascii="Times New Roman" w:hAnsi="Times New Roman"/>
          <w:b/>
          <w:sz w:val="24"/>
        </w:rPr>
        <w:t xml:space="preserve">” beginning on page 2, in any accompanying prospectus supplement and in the documents we have incorporated by reference herein and therein. </w:t>
      </w:r>
    </w:p>
    <w:p>
      <w:pPr>
        <w:pStyle w:val="TextBody"/>
        <w:bidi w:val="0"/>
        <w:spacing w:before="240" w:after="0"/>
        <w:jc w:val="both"/>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May 21,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547222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2">
              <w:r>
                <w:rPr>
                  <w:rStyle w:val="InternetLink"/>
                  <w:rFonts w:ascii="Times New Roman" w:hAnsi="Times New Roman"/>
                  <w:sz w:val="20"/>
                </w:rPr>
                <w:t>WHERE YOU CAN FIND MORE INFORMATION; 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vi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547222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x547222_1"/>
      <w:bookmarkEnd w:id="14"/>
      <w:r>
        <w:rPr>
          <w:rFonts w:ascii="Times New Roman" w:hAnsi="Times New Roman"/>
          <w:b/>
          <w:sz w:val="20"/>
        </w:rPr>
        <w:t xml:space="preserve">ABOUT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is part of an automatic shelf registration statement that we filed with the SEC as a “well-known seasoned issuer” as defined in Rule 405 under the Securities Act of 1933, as amended (the “Securities Act”). Under this automatic shelf registration statement, the selling stockholders, who will be named in a prospectus supplement, may offer, at any time and from time to time, in one or more offerings, together or separately, shares of common stock described in this prospectus and the applicable prospectus supplement in amounts, at prices and on other terms to be determined at the time of the applicable offering.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relates solely to the common stock that the selling stockholders may offer from time to time.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is not complete and does not contain all of the information that you should consider before making an investment in our common stock described in this prospectus. This prospectus provides you with a general description of our common stock the selling stockholders may offer. To the extent required by applicable law, each time the selling stockholders sell shares of common stock, the selling stockholders will provide you with this prospectus and, to the extent required, a prospectus supplement that will contain more information about the specific terms of the offering. A supplement to this prospectus or a free writing prospectus may also add to, update or change the information contained or incorporated by reference in this prospectus. To the extent that any statement made in an accompanying prospectus supplement or free writing prospectus is inconsistent with statements made in this prospectus, the statements made in this prospectus will be deemed modified or superseded by those made in the accompanying prospectus supplement. 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are responsible for the information contained in this prospectus, the accompanying prospectus supplement and any permitted free writing prospectus. Neither we, any selling stockholder nor any underwriter that may be named in a future prospectus supplement has authorized any other person to provide you with any different or additional information that is not contained or incorporated by reference in this prospectus, any accompanying prospectus supplement or in any free writing prospectus that we may provide to you in connection with an offering. Neither we nor any selling stockholders take responsibility for, or can provide any assurance as to the reliability of, any information that others may give you. You should carefully read this prospectus, any applicable prospectus supplement, if any, and any related free writing prospectus, together with the additional information that is incorporated or deemed incorporated by reference in this prospectus as described under “Where You Can Find More Information; Incorporation of Certain Documents by Reference” before making an investment decision.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does not constitute, and any accompanying prospectus supplement or free writing prospectus that we may provide to you in connection with an offering of the securities described herein will not constitute, an offer to sell or the solicitation of an offer to buy any securities other than the registered securities to which they relate, or an offer to sell or the solicitation of an offer to buy securities in any jurisdiction to any person to whom it is unlawful to make such offer or solicitation in such jurisdiction. You should assume that the information in this prospectus or any prospectus supplement is accurate only as of the date on the front of the document and that any information we have incorporated by reference is accurate only as of the date of the document incorporated by reference, regardless of the time of delivery of this prospectus or any sale of 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Unless stated otherwise or the context otherwise requires, the terms “we,” “us,” “our,” “our business,” “LifeStance” and “our Company” and similar references refer to LifeStance Health Group, Inc. and its consolidated subsidiaries and supported practices. References to “our employees” and “our clinicians” refer collectively to employees and clinicians, respectively, of our subsidiaries and supported practices. References to “our patients” refer to the patients treated by such clinicians.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tx547222_2"/>
      <w:bookmarkEnd w:id="15"/>
      <w:r>
        <w:rPr>
          <w:rFonts w:ascii="Times New Roman" w:hAnsi="Times New Roman"/>
          <w:b/>
          <w:sz w:val="20"/>
        </w:rPr>
        <w:t xml:space="preserve">WHERE YOU CAN FIND MORE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OF CERTAIN DOCUMENTS BY REFERENCE </w:t>
      </w:r>
    </w:p>
    <w:p>
      <w:pPr>
        <w:pStyle w:val="TextBody"/>
        <w:bidi w:val="0"/>
        <w:spacing w:before="240" w:after="0"/>
        <w:jc w:val="both"/>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(www.sec.gov) from which interested persons can electronically access our reports, proxy statements and other information regarding us. </w:t>
      </w:r>
    </w:p>
    <w:p>
      <w:pPr>
        <w:pStyle w:val="TextBody"/>
        <w:bidi w:val="0"/>
        <w:spacing w:before="240" w:after="0"/>
        <w:jc w:val="both"/>
        <w:rPr>
          <w:rFonts w:ascii="Times New Roman" w:hAnsi="Times New Roman"/>
          <w:sz w:val="20"/>
        </w:rPr>
      </w:pPr>
      <w:r>
        <w:rPr>
          <w:rFonts w:ascii="Times New Roman" w:hAnsi="Times New Roman"/>
          <w:sz w:val="20"/>
        </w:rPr>
        <w:t xml:space="preserve">We are incorporating by reference into this prospectus certain information that we have filed with the SEC, which means that we are disclosing important information to you by referring you to documents we have filed separately with the SEC. The documents incorporated by reference are considered part of this prospectus. This prospectus incorporates by reference the following (excluding any portions of such documents that have been or are deemed to have been “furnished” but not “filed” for purposes of the Securities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our Annual Report on </w:t>
            </w:r>
            <w:hyperlink r:id="rId16">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28, 2024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our Quarterly Report on </w:t>
            </w:r>
            <w:hyperlink r:id="rId17">
              <w:r>
                <w:rPr>
                  <w:rStyle w:val="InternetLink"/>
                  <w:rFonts w:ascii="Times New Roman" w:hAnsi="Times New Roman"/>
                  <w:sz w:val="20"/>
                </w:rPr>
                <w:t>Form 10-Q</w:t>
              </w:r>
            </w:hyperlink>
            <w:r>
              <w:rPr>
                <w:rFonts w:ascii="Times New Roman" w:hAnsi="Times New Roman"/>
                <w:sz w:val="20"/>
              </w:rPr>
              <w:t xml:space="preserve"> for the quarter ended March 31, 2024, filed with the SEC on May 9, 2024 (our “Quarterly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the portions of our </w:t>
            </w:r>
            <w:hyperlink r:id="rId18">
              <w:r>
                <w:rPr>
                  <w:rStyle w:val="InternetLink"/>
                  <w:rFonts w:ascii="Times New Roman" w:hAnsi="Times New Roman"/>
                  <w:sz w:val="20"/>
                </w:rPr>
                <w:t>Definitive Proxy Statement on Schedule 14A</w:t>
              </w:r>
            </w:hyperlink>
            <w:r>
              <w:rPr>
                <w:rFonts w:ascii="Times New Roman" w:hAnsi="Times New Roman"/>
                <w:sz w:val="20"/>
              </w:rPr>
              <w:t xml:space="preserve"> that are incorporated by reference into our Annual Report, filed with the SEC on April 23,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our Current Reports on Form 8-K, filed with the SEC on </w:t>
            </w:r>
            <w:hyperlink r:id="rId19">
              <w:r>
                <w:rPr>
                  <w:rStyle w:val="InternetLink"/>
                  <w:rFonts w:ascii="Times New Roman" w:hAnsi="Times New Roman"/>
                  <w:sz w:val="20"/>
                </w:rPr>
                <w:t>February 2, 2024</w:t>
              </w:r>
            </w:hyperlink>
            <w:r>
              <w:rPr>
                <w:rFonts w:ascii="Times New Roman" w:hAnsi="Times New Roman"/>
                <w:sz w:val="20"/>
              </w:rPr>
              <w:t xml:space="preserve"> (only Item 8.01), </w:t>
            </w:r>
            <w:hyperlink r:id="rId20">
              <w:r>
                <w:rPr>
                  <w:rStyle w:val="InternetLink"/>
                  <w:rFonts w:ascii="Times New Roman" w:hAnsi="Times New Roman"/>
                  <w:sz w:val="20"/>
                </w:rPr>
                <w:t>March  12, 2024</w:t>
              </w:r>
            </w:hyperlink>
            <w:r>
              <w:rPr>
                <w:rFonts w:ascii="Times New Roman" w:hAnsi="Times New Roman"/>
                <w:sz w:val="20"/>
              </w:rPr>
              <w:t xml:space="preserve"> and </w:t>
            </w:r>
            <w:hyperlink r:id="rId21">
              <w:r>
                <w:rPr>
                  <w:rStyle w:val="InternetLink"/>
                  <w:rFonts w:ascii="Times New Roman" w:hAnsi="Times New Roman"/>
                  <w:sz w:val="20"/>
                </w:rPr>
                <w:t>May 9, 2024</w:t>
              </w:r>
            </w:hyperlink>
            <w:r>
              <w:rPr>
                <w:rFonts w:ascii="Times New Roman" w:hAnsi="Times New Roman"/>
                <w:sz w:val="20"/>
              </w:rPr>
              <w:t xml:space="preserve"> (only Item 5.02);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the description of our securities (including our common stock) contained in </w:t>
            </w:r>
            <w:hyperlink r:id="rId22">
              <w:r>
                <w:rPr>
                  <w:rStyle w:val="InternetLink"/>
                  <w:rFonts w:ascii="Times New Roman" w:hAnsi="Times New Roman"/>
                  <w:sz w:val="20"/>
                </w:rPr>
                <w:t>Exhibit 4.2</w:t>
              </w:r>
            </w:hyperlink>
            <w:r>
              <w:rPr>
                <w:rFonts w:ascii="Times New Roman" w:hAnsi="Times New Roman"/>
                <w:sz w:val="20"/>
              </w:rPr>
              <w:t xml:space="preserve"> to our Annual Report, and any amendment or report filed for the purpose of updating such description.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we incorporate by reference any filings made with the SEC in accordance with Sections 13(a), 13(c), 14 or 15(d) of the Exchange Act on or after the date of this prospectus and before the date all of the securities offered by the relevant prospectus supplement are sold or the offering is otherwise terminated, with the exception of any information that has been or is deemed to have been “furnished” but not “filed” under the Exchange Act, including information furnished under Item 2.02 or Item 7.01 (including any financial statements or exhibits relating thereto furnished pursuant to Item 9.01) of Form 8-K, which will not be incorporated by reference herein. Any such filings, or any portion of such filings as specified above shall be deemed to be incorporated by reference and to be a part of this prospectus from the respective dates of filing of those documents. Any statement contained in a document or report incorporated or deemed to be incorporated by reference herein shall be deemed to be modified or superseded for purposes of this prospectus to the extent that a statement contained herein or in any subsequently filed document or report with the SEC or report that also is or is deemed to be incorporated by reference herein modifies or supersedes such statement. Any such statement so modified or superseded shall not be deemed, except as so modified or superseded, to constitute a part of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You can obtain any of the filings incorporated by reference into this prospectus through us or from the SEC through the SEC’s website at www.sec.gov. We will provide, without charge, to each person, including any beneficial owner, to whom a copy of this prospectus is delivered, upon written or oral request of such person, a copy of any of the reports and documents referred to above which have been or may be incorporated by reference into this prospectus. You should direct requests for those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LifeStance Health Group, Inc. </w:t>
      </w:r>
    </w:p>
    <w:p>
      <w:pPr>
        <w:pStyle w:val="TextBody"/>
        <w:bidi w:val="0"/>
        <w:spacing w:before="0" w:after="0"/>
        <w:jc w:val="center"/>
        <w:rPr>
          <w:rFonts w:ascii="Times New Roman" w:hAnsi="Times New Roman"/>
          <w:sz w:val="20"/>
        </w:rPr>
      </w:pPr>
      <w:r>
        <w:rPr>
          <w:rFonts w:ascii="Times New Roman" w:hAnsi="Times New Roman"/>
          <w:sz w:val="20"/>
        </w:rPr>
        <w:t xml:space="preserve">4800 N. Scottsdale Road, Suite 2500 </w:t>
      </w:r>
    </w:p>
    <w:p>
      <w:pPr>
        <w:pStyle w:val="TextBody"/>
        <w:bidi w:val="0"/>
        <w:spacing w:before="0" w:after="0"/>
        <w:jc w:val="center"/>
        <w:rPr>
          <w:rFonts w:ascii="Times New Roman" w:hAnsi="Times New Roman"/>
          <w:sz w:val="20"/>
        </w:rPr>
      </w:pPr>
      <w:r>
        <w:rPr>
          <w:rFonts w:ascii="Times New Roman" w:hAnsi="Times New Roman"/>
          <w:sz w:val="20"/>
        </w:rPr>
        <w:t xml:space="preserve">Scottsdale, Arizona 85251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investor.relations@lifestance.com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We maintain an internet site at www.lifestance.com. Our SEC filings are also available free of charge at our website. Our website and the information contained on or connected to it shall not be deemed to be incorporated into this prospectus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x547222_3"/>
      <w:bookmarkEnd w:id="16"/>
      <w:r>
        <w:rPr>
          <w:rFonts w:ascii="Times New Roman" w:hAnsi="Times New Roman"/>
          <w:b/>
          <w:sz w:val="20"/>
        </w:rPr>
        <w:t xml:space="preserve">CAUTIONARY NOTE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The statements contained in this prospectus or in our other documents that are incorporated by reference herein that are not purely historical are forward-looking statements within the meaning of Section 27A of the Securities Act and Section 21E of the Exchange Act, including statements regarding our expectations, hopes, intentions or strategies regarding the future. Forward-looking statements are neither historical facts nor assurances of future performance. Instead, they are based on our current beliefs, expectations and assumptions regarding the future of our business, the economy, future plans and strategies, and other future conditions. Forward-looking statements can be identified by words such as “anticipate,” “believe,” “envision,” “estimate,” “expect,” “intend,” “may,” “plan,” “predict,” “project,” “target,” “potential,” “will,” “would,” “could,” “should,” “continue,” “contemplate” and other similar expressions, although not all forward-looking statements contain these identifying words. For example, all statements we make relating to: our ability to grow our business, expand access to our patients and our payors and invest in our platform; our plan to partner with additional hospital systems, large primary care groups and other specialist groups; our expectation that we will continue to open de novo centers and acquire new centers; our growth rates and financial results; our plans and objectives for future operations, growth or initiatives and strategies; and our expected market opportunity are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reimbursement rates paid by third-party payors are reduced or if third-party payors otherwise restrain our ability to obtain or deliver care to patients, our business could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not grow at the rates we historically have achieved or at all, even if our key metrics may imply future growth, including if we are unable to successfully execute on our growth initiatives and business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we fail to manage our growth effectively, our expenses could increase more than expected, our revenue may not increase proportionally or at all, and we may be unable to execute on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recruit new clinicians and retain existing clinicians;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dependent on our relationships with supported practices, which we do not own, to provide health care services, and our business would be harmed if those relationships were disrupted or if our arrangements with these entities became subject to legal challenges;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operate in a competitive industry, and if we are not able to compete effectively, our business and financial performance would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health care reform legislation and other changes in the healthcare industry and in health care spending on us is currently unknown, but may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our or our vendors’ security measures fail or are breached and unauthorized access to our employees’, patients’ or partners’ data is obtained, our systems may be perceived as insecure, we may incur significant liabilities, including through private litigation or regulatory action, our reputation may be harmed, and we could lose patients and partners;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business depends on our ability to effectively invest in, implement improvements to and properly maintain the uninterrupted operation and data integrity of our information technology and other business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existing indebtedness could adversely affect our business and growth prospects;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other factors set forth under “Risk Factors” in our Annual Report, as amended, revised or supplemented by subsequent filings with the SEC that have been or will be incorporated by reference in this prospectus.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the reasons described above, we caution you against placing undue reliance on any forward-looking statements, which should also be read in conjunction with the other cautionary statements that are incorporated by reference herein. Any forward-looking statement made by us in this prospectus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x547222_4"/>
      <w:bookmarkEnd w:id="17"/>
      <w:r>
        <w:rPr>
          <w:rFonts w:ascii="Times New Roman" w:hAnsi="Times New Roman"/>
          <w:b/>
          <w:sz w:val="20"/>
        </w:rPr>
        <w:t xml:space="preserve">THE COMPANY </w:t>
      </w:r>
    </w:p>
    <w:p>
      <w:pPr>
        <w:pStyle w:val="TextBody"/>
        <w:bidi w:val="0"/>
        <w:spacing w:before="240" w:after="0"/>
        <w:jc w:val="both"/>
        <w:rPr>
          <w:rFonts w:ascii="Times New Roman" w:hAnsi="Times New Roman"/>
          <w:sz w:val="20"/>
        </w:rPr>
      </w:pPr>
      <w:r>
        <w:rPr>
          <w:rFonts w:ascii="Times New Roman" w:hAnsi="Times New Roman"/>
          <w:sz w:val="20"/>
        </w:rPr>
        <w:t xml:space="preserve">We are reimagining mental health through a tech-enabled care delivery model built to expand access, address affordability, improve outcomes and lower overall healthcare costs. We are one of the nation’s largest outpatient mental health platforms based on the number of clinicians we employ through our subsidiaries and our supported practices and our geographic scale, employing 6,866 licensed mental health clinicians as of March 31, 2024. Our patient-focused platform combines a personalized, digitally-powered patient experience with differentiated clinical capabilities and in-network insurance relationships to fundamentally transform patient access and treatment. By revolutionizing the way mental healthcare is delivered, we believe we have an opportunity to improve the lives and health of millions of individuals. </w:t>
      </w:r>
    </w:p>
    <w:p>
      <w:pPr>
        <w:pStyle w:val="TextBody"/>
        <w:bidi w:val="0"/>
        <w:spacing w:before="240" w:after="0"/>
        <w:jc w:val="both"/>
        <w:rPr>
          <w:rFonts w:ascii="Times New Roman" w:hAnsi="Times New Roman"/>
          <w:sz w:val="20"/>
        </w:rPr>
      </w:pPr>
      <w:r>
        <w:rPr>
          <w:rFonts w:ascii="Times New Roman" w:hAnsi="Times New Roman"/>
          <w:sz w:val="20"/>
        </w:rPr>
        <w:t xml:space="preserve">Our model is built to empower each of the healthcare ecosystem’s key stakeholders—patients, clinicians, payors and primary care and specialist physicians—by aligning around our shared goal of delivering better outcomes for patients and providing high-quality mental healthcare. </w:t>
      </w:r>
    </w:p>
    <w:p>
      <w:pPr>
        <w:pStyle w:val="TextBody"/>
        <w:bidi w:val="0"/>
        <w:spacing w:before="240" w:after="0"/>
        <w:jc w:val="both"/>
        <w:rPr>
          <w:rFonts w:ascii="Times New Roman" w:hAnsi="Times New Roman"/>
          <w:sz w:val="20"/>
        </w:rPr>
      </w:pPr>
      <w:r>
        <w:rPr>
          <w:rFonts w:ascii="Times New Roman" w:hAnsi="Times New Roman"/>
          <w:sz w:val="20"/>
        </w:rPr>
        <w:t xml:space="preserve">LifeStance Health Group, Inc. is a Delaware corporation. Our shares of common stock are listed on Nasdaq under the symbol “LFST.” Our principal executive offices are located at 4800 N. Scottsdale Road, Suite 2500, Scottsdale, Arizona 85251, and our telephone number is (602) 767-2100. Our website address is www.lifestance.com. The information contained on, or that can be accessed through, our website is not incorporated by reference into this filing and you should not consider any information contained on, or that can be accessed through, our website as part of this filing. We are a holding company and all of our business operations are conducted through our subsidiaries and supported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x547222_5"/>
      <w:bookmarkEnd w:id="18"/>
      <w:r>
        <w:rPr>
          <w:rFonts w:ascii="Times New Roman" w:hAnsi="Times New Roman"/>
          <w:b/>
          <w:sz w:val="20"/>
        </w:rPr>
        <w:t xml:space="preserve">RISK FACTORS </w:t>
      </w:r>
    </w:p>
    <w:p>
      <w:pPr>
        <w:pStyle w:val="TextBody"/>
        <w:bidi w:val="0"/>
        <w:spacing w:before="240" w:after="0"/>
        <w:jc w:val="both"/>
        <w:rPr>
          <w:rFonts w:ascii="Times New Roman" w:hAnsi="Times New Roman"/>
          <w:sz w:val="20"/>
        </w:rPr>
      </w:pPr>
      <w:r>
        <w:rPr>
          <w:rFonts w:ascii="Times New Roman" w:hAnsi="Times New Roman"/>
          <w:sz w:val="20"/>
        </w:rPr>
        <w:t xml:space="preserve">Investing in our common stock involves risks. You should carefully review the risk factors and other cautionary statements, including those described under the section entitled “Risk Factors” in our most recent Annual Report, our Quarterly Reports on Form 10-Q and other documents we file with the SEC, which have been or will be incorporated by reference in this prospectus, and the risk factors and other information contained in the applicable prospectus supplement or free writing prospectus. The risks and uncertainties in the documents referred to above, as well as other matters discussed in those documents, could materially and adversely affect our business, financial condition, liquidity, results of operations, prospects and the market price of our common stock. Moreover, the risks and uncertainties discussed in the foregoing documents are not the only risks and uncertainties that we face, and our business, financial condition, liquidity, results of operations, prospects and the market price of our common stock could be materially adversely affected by other matters that are not known to us or that we currently do not consider to be material risks to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547222_6"/>
      <w:bookmarkEnd w:id="19"/>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We will not receive any of the proceeds from the sale of common stock by any selling stockholders. All of the shares of our common stock offered by the selling stockholders pursuant to this prospectus will be sold by the selling stockholders. We have agreed to pay certain expenses in connection with the registration of common stock being offered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547222_7"/>
      <w:bookmarkEnd w:id="20"/>
      <w:r>
        <w:rPr>
          <w:rFonts w:ascii="Times New Roman" w:hAnsi="Times New Roman"/>
          <w:b/>
          <w:sz w:val="20"/>
        </w:rPr>
        <w:t xml:space="preserve">SELLING STOCKHOLDERS </w:t>
      </w:r>
    </w:p>
    <w:p>
      <w:pPr>
        <w:pStyle w:val="TextBody"/>
        <w:bidi w:val="0"/>
        <w:spacing w:before="240" w:after="0"/>
        <w:jc w:val="both"/>
        <w:rPr>
          <w:rFonts w:ascii="Times New Roman" w:hAnsi="Times New Roman"/>
          <w:sz w:val="20"/>
        </w:rPr>
      </w:pPr>
      <w:r>
        <w:rPr>
          <w:rFonts w:ascii="Times New Roman" w:hAnsi="Times New Roman"/>
          <w:sz w:val="20"/>
        </w:rPr>
        <w:t xml:space="preserve">Information regarding the identities of any selling stockholders, any material relationships the selling stockholders have had within the past three years with the Company, the beneficial ownership of our common stock by the selling stockholders, the number of shares to be offered by the selling stockholders and the percentage to be owned by the selling stockholders after completion of the applicable offering will be set forth in a prospectus supplement, in a post-effective amendment, or in filings we make with the SEC under the Exchange Act that are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547222_8"/>
      <w:bookmarkEnd w:id="21"/>
      <w:r>
        <w:rPr>
          <w:rFonts w:ascii="Times New Roman" w:hAnsi="Times New Roman"/>
          <w:b/>
          <w:sz w:val="20"/>
        </w:rPr>
        <w:t xml:space="preserve">DESCRIPTION OF CAPITAL STOCK </w:t>
      </w:r>
    </w:p>
    <w:p>
      <w:pPr>
        <w:pStyle w:val="TextBody"/>
        <w:bidi w:val="0"/>
        <w:spacing w:before="240" w:after="0"/>
        <w:jc w:val="both"/>
        <w:rPr>
          <w:rFonts w:ascii="Times New Roman" w:hAnsi="Times New Roman"/>
          <w:i/>
          <w:sz w:val="20"/>
        </w:rPr>
      </w:pPr>
      <w:r>
        <w:rPr>
          <w:rFonts w:ascii="Times New Roman" w:hAnsi="Times New Roman"/>
          <w:i/>
          <w:sz w:val="20"/>
        </w:rPr>
        <w:t xml:space="preserve">The following description summarizes important terms of our capital stock. This summary does not purport to be complete and is qualified in its entirety by (i) the provisions of our amended and restated certificate of incorporation and our second amended and restated bylaws (our “bylaws”), each of which have been filed as exhibits to the registration statement of which this prospectus is a part, and (ii) certain provisions of Delaware law. For more information on how you can obtain our amended and restated certificate of incorporation and bylaws, see “Where You Can Find More Information; Incorporation of Certain Documents by Reference.” </w:t>
      </w:r>
    </w:p>
    <w:p>
      <w:pPr>
        <w:pStyle w:val="TextBody"/>
        <w:bidi w:val="0"/>
        <w:spacing w:before="240" w:after="0"/>
        <w:jc w:val="both"/>
        <w:rPr>
          <w:rFonts w:ascii="Times New Roman" w:hAnsi="Times New Roman"/>
          <w:sz w:val="20"/>
        </w:rPr>
      </w:pPr>
      <w:r>
        <w:rPr>
          <w:rFonts w:ascii="Times New Roman" w:hAnsi="Times New Roman"/>
          <w:sz w:val="20"/>
        </w:rPr>
        <w:t xml:space="preserve">Our authorized capital stock consists of 800,000,000 shares of common stock, par value $0.01 per share, and 25,000,000 shares of preferred stock, $0.01 per share. As of May 1, 2024, 382,287,766 shares of common stock and no shares of preferred stock are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both"/>
        <w:rPr>
          <w:rFonts w:ascii="Times New Roman" w:hAnsi="Times New Roman"/>
          <w:sz w:val="20"/>
        </w:rPr>
      </w:pPr>
      <w:r>
        <w:rPr>
          <w:rFonts w:ascii="Times New Roman" w:hAnsi="Times New Roman"/>
          <w:i/>
          <w:sz w:val="20"/>
        </w:rPr>
        <w:t>Dividend rights</w:t>
      </w:r>
      <w:r>
        <w:rPr>
          <w:rFonts w:ascii="Times New Roman" w:hAnsi="Times New Roman"/>
          <w:sz w:val="20"/>
        </w:rPr>
        <w:t xml:space="preserve">. Subject to preferences that may apply to shares of preferred stock outstanding at the time, holders of outstanding shares of common stock are entitled to receive dividends out of assets legally available at the times and in the amounts as the Board of Directors may determine from time to time. </w:t>
      </w:r>
    </w:p>
    <w:p>
      <w:pPr>
        <w:pStyle w:val="TextBody"/>
        <w:bidi w:val="0"/>
        <w:spacing w:before="240" w:after="0"/>
        <w:jc w:val="both"/>
        <w:rPr>
          <w:rFonts w:ascii="Times New Roman" w:hAnsi="Times New Roman"/>
          <w:sz w:val="20"/>
        </w:rPr>
      </w:pPr>
      <w:r>
        <w:rPr>
          <w:rFonts w:ascii="Times New Roman" w:hAnsi="Times New Roman"/>
          <w:i/>
          <w:sz w:val="20"/>
        </w:rPr>
        <w:t>Voting rights</w:t>
      </w:r>
      <w:r>
        <w:rPr>
          <w:rFonts w:ascii="Times New Roman" w:hAnsi="Times New Roman"/>
          <w:sz w:val="20"/>
        </w:rPr>
        <w:t xml:space="preserve">. Each outstanding share of common stock is entitled to one vote on all matters submitted to a vote of stockholders. Holders of shares of our common stock have no cumulative voting rights. </w:t>
      </w:r>
    </w:p>
    <w:p>
      <w:pPr>
        <w:pStyle w:val="TextBody"/>
        <w:bidi w:val="0"/>
        <w:spacing w:before="240" w:after="0"/>
        <w:jc w:val="both"/>
        <w:rPr>
          <w:rFonts w:ascii="Times New Roman" w:hAnsi="Times New Roman"/>
          <w:sz w:val="20"/>
        </w:rPr>
      </w:pPr>
      <w:r>
        <w:rPr>
          <w:rFonts w:ascii="Times New Roman" w:hAnsi="Times New Roman"/>
          <w:i/>
          <w:sz w:val="20"/>
        </w:rPr>
        <w:t>Preemptive rights</w:t>
      </w:r>
      <w:r>
        <w:rPr>
          <w:rFonts w:ascii="Times New Roman" w:hAnsi="Times New Roman"/>
          <w:sz w:val="20"/>
        </w:rPr>
        <w:t xml:space="preserve">. Our common stock is not entitled to preemptive or other similar subscription rights to purchase any of our securities. </w:t>
      </w:r>
    </w:p>
    <w:p>
      <w:pPr>
        <w:pStyle w:val="TextBody"/>
        <w:bidi w:val="0"/>
        <w:spacing w:before="240" w:after="0"/>
        <w:jc w:val="both"/>
        <w:rPr>
          <w:rFonts w:ascii="Times New Roman" w:hAnsi="Times New Roman"/>
          <w:sz w:val="20"/>
        </w:rPr>
      </w:pPr>
      <w:r>
        <w:rPr>
          <w:rFonts w:ascii="Times New Roman" w:hAnsi="Times New Roman"/>
          <w:i/>
          <w:sz w:val="20"/>
        </w:rPr>
        <w:t>Conversion or redemption rights</w:t>
      </w:r>
      <w:r>
        <w:rPr>
          <w:rFonts w:ascii="Times New Roman" w:hAnsi="Times New Roman"/>
          <w:sz w:val="20"/>
        </w:rPr>
        <w:t xml:space="preserve">. Our common stock is neither convertible nor redeemable. </w:t>
      </w:r>
    </w:p>
    <w:p>
      <w:pPr>
        <w:pStyle w:val="TextBody"/>
        <w:bidi w:val="0"/>
        <w:spacing w:before="240" w:after="0"/>
        <w:jc w:val="both"/>
        <w:rPr>
          <w:rFonts w:ascii="Times New Roman" w:hAnsi="Times New Roman"/>
          <w:sz w:val="20"/>
        </w:rPr>
      </w:pPr>
      <w:r>
        <w:rPr>
          <w:rFonts w:ascii="Times New Roman" w:hAnsi="Times New Roman"/>
          <w:i/>
          <w:sz w:val="20"/>
        </w:rPr>
        <w:t>Liquidation rights</w:t>
      </w:r>
      <w:r>
        <w:rPr>
          <w:rFonts w:ascii="Times New Roman" w:hAnsi="Times New Roman"/>
          <w:sz w:val="20"/>
        </w:rPr>
        <w:t xml:space="preserve">. Upon our liquidation, the holders of our common stock will be entitled to receive pro rata our assets that are legally available for distribution, after payment of all debts and other liabilities and subject to the prior rights of any holders of preferred stock then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may, without further action by our stockholders, from time to time, direct the issuance of shares of preferred stock in series and may, at the time of issuance, determine the designations, powers, preferences, privileges and relative participating, optional or special rights, as well as the qualifications, limitations or restrictions thereof, including dividend rights, conversion rights, voting rights, terms of redemption and liquidation preferences, any or all of which may be greater than the rights of the common stock.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our liquidation before any payment is made to the holders of shares of our common stock. Under certain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a majority of the total number of directors then in office, our Board of Directors, without stockholder approval, may issue shares of preferred stock with voting and conversion rights which could adversely affect the holders of shares of our common stock and the market value of our common stock. Upon consummation of this offering, there will be no shares of preferred stock outstanding, and we have no present intention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Agreement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our initial public offering, we entered into a stockholders agreement with certain of our stockholders, including investment entities affiliated with TPG Global, LLC (“TPG”), Summit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(“Summit”) and Silversmith Capital Partners (“Silversmith” and, together with TPG and Summit, the “Principal Stockholders”), pursuant to which such parties have specified board representation rights, governance rights and other rights.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Certain of our stockholders, including investment entities affiliated with our Principal Stockholders and certain of our executive officers, are entitled to rights with respect to the registration of shares of common stock under the Securities Act. These registration rights are contained in a registration rights agreement that we entered into with such stockholders in connection with our initial public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Delaware Law and our Certificate of Incorporation and Bylaws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and our bylaws contain provisions that may delay, defer or discourage another party from acquiring control of us. We expect that these provisions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 </w:t>
      </w:r>
    </w:p>
    <w:p>
      <w:pPr>
        <w:pStyle w:val="TextBody"/>
        <w:bidi w:val="0"/>
        <w:spacing w:before="240" w:after="0"/>
        <w:jc w:val="both"/>
        <w:rPr>
          <w:rFonts w:ascii="Times New Roman" w:hAnsi="Times New Roman"/>
          <w:sz w:val="20"/>
        </w:rPr>
      </w:pPr>
      <w:r>
        <w:rPr>
          <w:rFonts w:ascii="Times New Roman" w:hAnsi="Times New Roman"/>
          <w:sz w:val="20"/>
        </w:rPr>
        <w:t xml:space="preserve">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Classified board</w:t>
            </w:r>
            <w:r>
              <w:rPr>
                <w:rFonts w:ascii="Times New Roman" w:hAnsi="Times New Roman"/>
                <w:sz w:val="20"/>
              </w:rPr>
              <w:t xml:space="preserve">. Our amended and restated certificate of incorporation provides that our Board of Directors is divided with respect to the time for which directors severally hold office into three classes of directors. As a result, approximately one-third of our Board of Directors is elected each year. The classification of directors has the effect of making it more difficult for stockholders to change the composition of our Board of Directors. Our Board of Directors is currently composed of 10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the right to cumulate votes in the election of directors unless the certificate of incorporation specifically authorizes cumulative voting. Our amended and restated certificate of incorporation does not authorize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Requirements for removal of directors</w:t>
            </w:r>
            <w:r>
              <w:rPr>
                <w:rFonts w:ascii="Times New Roman" w:hAnsi="Times New Roman"/>
                <w:sz w:val="20"/>
              </w:rPr>
              <w:t xml:space="preserve">. Directors may only be removed for cause. However, any director who is designated for nomination by a Principal Stockholder pursuant to the terms of our stockholders agreement may be removed with or without cause by such Principal Stockholder with the approval of the holders of the majority of the total voting power of the outstanding shares of capital stock entitled to vote generally in the election of directors, subject to the terms of our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Advance notice procedures</w:t>
            </w:r>
            <w:r>
              <w:rPr>
                <w:rFonts w:ascii="Times New Roman" w:hAnsi="Times New Roman"/>
                <w:sz w:val="20"/>
              </w:rPr>
              <w:t xml:space="preserve">. Our bylaws establish an advance notice procedure for stockholder proposals to be brought before an annual 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our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Actions by written consent; special meetings of stockholders</w:t>
            </w:r>
            <w:r>
              <w:rPr>
                <w:rFonts w:ascii="Times New Roman" w:hAnsi="Times New Roman"/>
                <w:sz w:val="20"/>
              </w:rPr>
              <w:t xml:space="preserve">. Our amended and restated certificate of incorporation provides that, following the date on which our Principal Stockholders no longer beneficially own a majority of our common stock, stockholder action can be taken only at an annual or special meeting of stockholders and cannot be taken by written consent in lieu of a meeting. Our amended and restated certificate of incorporation also provides that, except as otherwise required by law, special meetings of the stockholders can only be called by or at the direction of the Board of Directors pursuant to a resolution approved by a majority of the entire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i/>
                <w:sz w:val="20"/>
              </w:rPr>
              <w:t>Supermajority approval requirements</w:t>
            </w:r>
            <w:r>
              <w:rPr>
                <w:rFonts w:ascii="Times New Roman" w:hAnsi="Times New Roman"/>
                <w:sz w:val="20"/>
              </w:rPr>
              <w:t xml:space="preserve">. Certain amendments to our certificate of incorporation and shareholder amendments to our bylaws will require the affirmative vote of at least two-thirds of the voting power of the outstanding shares of our capital stock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Authorized but unissued shares</w:t>
            </w:r>
            <w:r>
              <w:rPr>
                <w:rFonts w:ascii="Times New Roman" w:hAnsi="Times New Roman"/>
                <w:sz w:val="20"/>
              </w:rPr>
              <w:t xml:space="preserve">. Our authorized but unissued shares of common and preferred stock are available for future issuance without stockholder approval. The existence of authorized but unissued shares of preferred stock could render more difficult or discourage an attempt to obtain control of us by means of a proxy contest, tender offer, merger or otherwise.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provides that, subject to limited exceptions, the state or federal courts within the State of Delaware will be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bylaws, (4) any action to interpret, apply, enforce or determine the validity of our amended and restated certificate of incorporation or our bylaws or (5) any other action asserting a claim against us that is governed by the internal affairs doctrine; provided that, the exclusive forum provision will not apply to suits brought to enforce any liability or duty created by the Exchange Act or to any claim for which the federal courts have exclusive jurisdiction. Our amended and restated certificate of incorporation also provides that, unless we consent in writing to the selection of an alternative forum, the U.S. federal district courts shall be the exclusive forum for the resolution of any claims arising under the Securities Act. Although we believe these provisions benefit us by providing increased consistency in the application of Delaware and certain federal securities law, these provisions may have the effect of discouraging lawsuits against our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of the DGCL </w:t>
      </w:r>
    </w:p>
    <w:p>
      <w:pPr>
        <w:pStyle w:val="TextBody"/>
        <w:bidi w:val="0"/>
        <w:spacing w:before="120" w:after="0"/>
        <w:jc w:val="both"/>
        <w:rPr>
          <w:rFonts w:ascii="Times New Roman" w:hAnsi="Times New Roman"/>
          <w:sz w:val="20"/>
        </w:rPr>
      </w:pPr>
      <w:r>
        <w:rPr>
          <w:rFonts w:ascii="Times New Roman" w:hAnsi="Times New Roman"/>
          <w:sz w:val="20"/>
        </w:rPr>
        <w:t xml:space="preserve">We have elected in our amended and restated certificate of incorporation not to be subject to Section 203 of the DGCL (“Section 203”), an antitakeover law. In general, Section 203 prohibits a publicly held Delaware corporation from engaging in a business combination, such as a merger, with a person or group owning 15% or more of the corporation’s outstanding voting stock for a period of three years following the date the person became an interested stockholder, unless (with certain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upon the completion of the transaction that resulted in the stockholder becoming an interested stockholder, the interested stockholder owned at least 85% of the voting stock of the corporation outstanding at the time the transaction commenced, calculated pursuant to Section 203;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the stockholders, and not by written consent, by the affirmative vote of at least two-thirds of the outstanding voting stock which is not owned by the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While we will not be subject to any anti-takeover effects of Section 203, our amended and restated certificate of incorporation contains provisions that have the same effect as Section 203, except that they provide that investment funds affiliated with our Principal Stockholders will not be deemed to be an “interested stockholder,” regardless of the percentage of our voting stock owned by investment funds affiliated with our Principal Stockholders, and accordingly we will not be subject to such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Opportunities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provides that we renounce any interest or expectancy in the business opportunities of our Principal Stockholders and each of their respective partners, principals, directors, officers, members, managers and/or employees, including any of the foregoing who serve as officers or directors of the Company, and each such party shall not have any obligation to offer us those opportunities unless presented to one of our directors or officers in his or her capacity as a director or officer.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Directors and Officers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limits the liability of our directors and officers to the fullest extent permitted by Delaware law and requires that we will provide them with customary indemnification. We have also entered into customary indemnification agreements with each of our directors that provide them, in general, with customary indemnification in connection with their service to us or on our behalf. Insofar as indemnification for liabilities arising under the Securities Act may be permitted to directors, we have been informed that in the opinion of the SEC such indemnification is against public policy and is therefore unenforceable. We also maintain officers’ and directors’ liability insurance that insures against liabilities that our officers and directors may incur in such capacities.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both"/>
        <w:rPr>
          <w:rFonts w:ascii="Times New Roman" w:hAnsi="Times New Roman"/>
          <w:sz w:val="20"/>
        </w:rPr>
      </w:pPr>
      <w:r>
        <w:rPr>
          <w:rFonts w:ascii="Times New Roman" w:hAnsi="Times New Roman"/>
          <w:sz w:val="20"/>
        </w:rPr>
        <w:t xml:space="preserve">The transfer agent and registrar for our common stock is Equiniti Trust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both"/>
        <w:rPr>
          <w:rFonts w:ascii="Times New Roman" w:hAnsi="Times New Roman"/>
          <w:sz w:val="20"/>
        </w:rPr>
      </w:pPr>
      <w:r>
        <w:rPr>
          <w:rFonts w:ascii="Times New Roman" w:hAnsi="Times New Roman"/>
          <w:sz w:val="20"/>
        </w:rPr>
        <w:t xml:space="preserve">Our common stock is listed on Nasdaq under the symbol “LFST.”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547222_9"/>
      <w:bookmarkEnd w:id="22"/>
      <w:r>
        <w:rPr>
          <w:rFonts w:ascii="Times New Roman" w:hAnsi="Times New Roman"/>
          <w:b/>
          <w:sz w:val="20"/>
        </w:rPr>
        <w:t xml:space="preserve">PLAN OF DISTRIBUTION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relates to the possible resale, from time to time, by the selling stockholders to be identified in a prospectus supplement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may, from time to time, sell any or all of the common stock offered hereby directly to one or more purchasers or through one or more underwriters, broker-dealers or agents, or through a combination of any of these methods of sale. The selling stockholders will be responsible for any underwriting discounts or agent’s commissions attributable to the resale of the shares of our common stock. Shares of our common stock may be sold in one or more transactions at fixed prices, at prevailing market prices at the time of the sale, at varying prices determined at the time of sale, or at negotiated prices. These prices will be determined by the selling stockholders or by agreement between such selling stockholders and any underwriter, broker-dealer or agent who receives fees or commissions in connection with a sale. The selling stockholders may use any one or more of the following methods when selling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Nasdaq or any other national securities exchange or quotation service on which the securities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transactions otherwise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the writing of options,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one or more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one or more underwriters on a firm commitment or best-efforts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loans or pledges of our common stock to a broker-dealer who may sell shares of our common stock so loaned or, upon a default, may sell or otherwise transfer the pledged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may also sell shares under Rule 144 under the Securities Act or other available exemptions from the registration requirements of the Securities Act rather than under this prospectus or any applicable prospectus supplement.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selling stockholders may enter into hedging transactions with broker-dealers which may engage in short sales of shares of our common stock in the course of hedging the positions they assume with the selling stockholders. The selling stockholders may also sell shares of our common stock short and deliver the shares of our common stock to close out such short position. The selling stockholders may also enter into option or other transactions with broker-dealers that require the delivery by such broker-dealers of the shares of our common stock, which shares may be resold thereafter pursuant to this prospectus or any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Broker-dealers engaged by the selling stockholders may arrange for other broker-dealers to participate in sales. If the selling stockholders effect such transactions through underwriters, broker-dealers or agents, such underwriters, broker-dealers or agents may receive commissions in the form of discounts, concessions or commissions from the selling stockholders, or commissions from purchasers of the shares of our common stock for whom they may act as agent or to whom they may sell as principal, or both (which discounts, concessions or commissions as to particular underwriters, broker-dealers or agents may be less than or in excess of those customary in the types of transactions involved). </w:t>
      </w:r>
    </w:p>
    <w:p>
      <w:pPr>
        <w:pStyle w:val="TextBody"/>
        <w:bidi w:val="0"/>
        <w:spacing w:before="240" w:after="0"/>
        <w:jc w:val="both"/>
        <w:rPr>
          <w:rFonts w:ascii="Times New Roman" w:hAnsi="Times New Roman"/>
          <w:sz w:val="20"/>
        </w:rPr>
      </w:pPr>
      <w:r>
        <w:rPr>
          <w:rFonts w:ascii="Times New Roman" w:hAnsi="Times New Roman"/>
          <w:sz w:val="20"/>
        </w:rPr>
        <w:t xml:space="preserve">With respect to a particular offering of shares of common stock held by the selling stockholders, to the extent required, an accompanying prospectus supplement or, if appropriate, a post-effective amendment to the registration statement of which this prospectus is part, will be prepared and will set forth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specific shares of common stock to be offered and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names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respective purchase prices and public offering prices and other material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option under which underwriters may purchase additional shares of common stock from the selling stockholders in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names of any participating agents, broker-dealers or underwriters;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applicable commissions, discounts, concessions and other items constituting compensation from the selling stockholders.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and any underwriters, broker-dealers or agents that are involved in selling the shares may be deemed to be “underwriters” within the meaning of the Securities Act in connection with such sales. In such event, any commissions received by such underwriters, broker-dealers or agents and any profit on the resale of the shares purchased by them may be deemed to be underwriting commissions or discounts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Underwriters, broker-dealers or agents may be entitled to indemnification by us and the selling stockholders against certain civil liabilities, including liabilities under the Securities Act, or to contribution with respect to payments which the underwriters, broker-dealers or agents may be required to make in respect thereof.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will be subject to the Exchange Act, including Regulation M, which may limit the timing of purchases and sales of our common stock by the selling stockholders and their affiliates, as applicable. </w:t>
      </w:r>
    </w:p>
    <w:p>
      <w:pPr>
        <w:pStyle w:val="TextBody"/>
        <w:bidi w:val="0"/>
        <w:spacing w:before="240" w:after="0"/>
        <w:jc w:val="both"/>
        <w:rPr>
          <w:rFonts w:ascii="Times New Roman" w:hAnsi="Times New Roman"/>
          <w:sz w:val="20"/>
        </w:rPr>
      </w:pPr>
      <w:r>
        <w:rPr>
          <w:rFonts w:ascii="Times New Roman" w:hAnsi="Times New Roman"/>
          <w:sz w:val="20"/>
        </w:rPr>
        <w:t xml:space="preserve">There can be no assurance that the selling stockholders will sell any or all of the shares of our common stock registered pursuant to the registration statement of which this prospectus or any applicable prospectus supplement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x547222_10"/>
      <w:bookmarkEnd w:id="23"/>
      <w:r>
        <w:rPr>
          <w:rFonts w:ascii="Times New Roman" w:hAnsi="Times New Roman"/>
          <w:b/>
          <w:sz w:val="20"/>
        </w:rPr>
        <w:t xml:space="preserve">LEGAL MATTERS </w:t>
      </w:r>
    </w:p>
    <w:p>
      <w:pPr>
        <w:pStyle w:val="TextBody"/>
        <w:bidi w:val="0"/>
        <w:spacing w:before="240" w:after="0"/>
        <w:jc w:val="both"/>
        <w:rPr>
          <w:rFonts w:ascii="Times New Roman" w:hAnsi="Times New Roman"/>
          <w:sz w:val="20"/>
        </w:rPr>
      </w:pPr>
      <w:r>
        <w:rPr>
          <w:rFonts w:ascii="Times New Roman" w:hAnsi="Times New Roman"/>
          <w:sz w:val="20"/>
        </w:rPr>
        <w:t xml:space="preserve">Ropes &amp; Gray LLP, Boston, MA, will pass upon the validity of the common stock offered by this prospectus. Additional legal matters may be passed 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4" w:name="tx547222_11"/>
      <w:bookmarkEnd w:id="24"/>
      <w:r>
        <w:rPr>
          <w:rFonts w:ascii="Times New Roman" w:hAnsi="Times New Roman"/>
          <w:b/>
          <w:sz w:val="20"/>
        </w:rPr>
        <w:t xml:space="preserve">EXPERTS </w:t>
      </w:r>
    </w:p>
    <w:p>
      <w:pPr>
        <w:pStyle w:val="TextBody"/>
        <w:bidi w:val="0"/>
        <w:spacing w:before="240" w:after="0"/>
        <w:jc w:val="both"/>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22,250,000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29840" cy="5727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2529840" cy="57277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LifeStance Health Group, Inc.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440" w:after="0"/>
        <w:jc w:val="center"/>
        <w:rPr>
          <w:rFonts w:ascii="Times New Roman" w:hAnsi="Times New Roman"/>
          <w:b/>
          <w:sz w:val="32"/>
        </w:rPr>
      </w:pPr>
      <w:r>
        <w:rPr>
          <w:rFonts w:ascii="Times New Roman" w:hAnsi="Times New Roman"/>
          <w:b/>
          <w:sz w:val="32"/>
        </w:rPr>
        <w:t xml:space="preserve">Barclays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440" w:after="0"/>
        <w:jc w:val="center"/>
        <w:rPr>
          <w:rFonts w:ascii="Times New Roman" w:hAnsi="Times New Roman"/>
          <w:b/>
          <w:sz w:val="20"/>
        </w:rPr>
      </w:pPr>
      <w:r>
        <w:rPr>
          <w:rFonts w:ascii="Times New Roman" w:hAnsi="Times New Roman"/>
          <w:b/>
          <w:sz w:val="20"/>
        </w:rPr>
        <w:t xml:space="preserve">September 9,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25" w:name="d547222dexfilingfees.htm"/>
      <w:bookmarkStart w:id="26" w:name="ksd547222dexfilingfees"/>
      <w:bookmarkStart w:id="27" w:name="d547222dexfilingfees.htm"/>
      <w:bookmarkStart w:id="28" w:name="ksd547222dexfilingfees"/>
      <w:bookmarkEnd w:id="27"/>
      <w:bookmarkEnd w:id="28"/>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LifeStance Health Group,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22,250,000 </w:t>
            </w:r>
          </w:p>
        </w:tc>
        <w:tc>
          <w:tcPr>
            <w:tcW w:w="1156" w:type="dxa"/>
            <w:tcBorders/>
            <w:shd w:fill="E7E7E2" w:val="clear"/>
            <w:vAlign w:val="center"/>
          </w:tcPr>
          <w:p>
            <w:pPr>
              <w:pStyle w:val="TableContents"/>
              <w:bidi w:val="0"/>
              <w:spacing w:before="0" w:after="283"/>
              <w:jc w:val="right"/>
              <w:rPr/>
            </w:pPr>
            <w:r>
              <w:rPr/>
              <w:t xml:space="preserve">$ 12.69 </w:t>
            </w:r>
          </w:p>
        </w:tc>
        <w:tc>
          <w:tcPr>
            <w:tcW w:w="1786" w:type="dxa"/>
            <w:tcBorders/>
            <w:shd w:fill="E7E7E2" w:val="clear"/>
            <w:vAlign w:val="center"/>
          </w:tcPr>
          <w:p>
            <w:pPr>
              <w:pStyle w:val="TableContents"/>
              <w:bidi w:val="0"/>
              <w:spacing w:before="0" w:after="283"/>
              <w:jc w:val="right"/>
              <w:rPr/>
            </w:pPr>
            <w:r>
              <w:rPr/>
              <w:t xml:space="preserve">$ 282,352,500.00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$ 38,992.89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9" w:name="MaxAggtOfferingPrice"/>
            <w:bookmarkEnd w:id="29"/>
            <w:r>
              <w:rPr/>
              <w:t xml:space="preserve">$ 282,352,500.00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0" w:name="TotalFeeAmt"/>
            <w:bookmarkEnd w:id="30"/>
            <w:r>
              <w:rPr/>
              <w:t xml:space="preserve">$ 38,992.89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TotalPreviouslyPaid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TotalOffset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NetFeeAmt"/>
            <w:bookmarkEnd w:id="33"/>
            <w:r>
              <w:rPr/>
              <w:t xml:space="preserve">$ 38,992.89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6"/>
        <w:gridCol w:w="8708"/>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 of the Securities Act of 1933, as amended (the "Securities Act"), the registration statement on Form S-3ASR (Registration No. 333-279585) also covers any additional common shares which become issuable in connection with any stock dividend, stock split, recapitalization or other similar transactions with respect to the securities being registered pursuant to that registration statement. (2) Estimated solely for purposes of calculating the registration fee pursuant to Rule 457(c) of the Securities Act, based upon the average of the high and low prices of the registrant's common stock as reported on the Nasdaq Global Select Market on September 8, 2026. (3) The registration fee is calculated in accordance with Rule 457(r) of the Securities Act and represents deferred payment of the registration fees in connection with the Registrant's registration statement on Form S-3ASR (Registration No. 333-279585) paid with the filing of this prospectus supplement.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$282,352,500.00.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45257/000119312526071462/lfst-20251231.htm" TargetMode="External"/><Relationship Id="rId4" Type="http://schemas.openxmlformats.org/officeDocument/2006/relationships/hyperlink" Target="http://www.sec.gov/Archives/edgar/data/../../../ix?doc=/Archives/edgar/data/0001845257/000119312526211814/lfst-20260331.htm" TargetMode="External"/><Relationship Id="rId5" Type="http://schemas.openxmlformats.org/officeDocument/2006/relationships/hyperlink" Target="http://www.sec.gov/Archives/edgar/data/../../../ix?doc=/Archives/edgar/data/0001845257/000119312526338107/lfst-20260630.htm" TargetMode="External"/><Relationship Id="rId6" Type="http://schemas.openxmlformats.org/officeDocument/2006/relationships/hyperlink" Target="http://www.sec.gov/Archives/edgar/data/../../../ix?doc=/Archives/edgar/data/0001845257/000119312526170798/lfst-20260421.htm" TargetMode="External"/><Relationship Id="rId7" Type="http://schemas.openxmlformats.org/officeDocument/2006/relationships/hyperlink" Target="http://www.sec.gov/Archives/edgar/data/../../../ix?doc=/Archives/edgar/data/0001845257/000119312526067858/lfst-20260225.htm" TargetMode="External"/><Relationship Id="rId8" Type="http://schemas.openxmlformats.org/officeDocument/2006/relationships/hyperlink" Target="http://www.sec.gov/Archives/edgar/data/../../../ix?doc=/Archives/edgar/data/0001845257/000119312526085507/d116309d8k.htm" TargetMode="External"/><Relationship Id="rId9" Type="http://schemas.openxmlformats.org/officeDocument/2006/relationships/hyperlink" Target="http://www.sec.gov/Archives/edgar/data/../../../ix?doc=/Archives/edgar/data/0001845257/000119312526102436/d128029d8k.htm" TargetMode="External"/><Relationship Id="rId10" Type="http://schemas.openxmlformats.org/officeDocument/2006/relationships/hyperlink" Target="http://www.sec.gov/Archives/edgar/data/../../../ix?doc=/Archives/edgar/data/0001845257/000119312526219669/d107883d8k.htm" TargetMode="External"/><Relationship Id="rId11" Type="http://schemas.openxmlformats.org/officeDocument/2006/relationships/hyperlink" Target="http://www.sec.gov/Archives/edgar/data/../../../ix?doc=/Archives/edgar/data/0001845257/000119312526257606/d11462d8k.htm" TargetMode="External"/><Relationship Id="rId12" Type="http://schemas.openxmlformats.org/officeDocument/2006/relationships/hyperlink" Target="http://www.sec.gov/Archives/edgar/data/../../../ix?doc=/Archives/edgar/data/0001845257/000119312526297525/d98636d8k.htm" TargetMode="External"/><Relationship Id="rId13" Type="http://schemas.openxmlformats.org/officeDocument/2006/relationships/hyperlink" Target="http://www.sec.gov/Archives/edgar/data/../../../ix?doc=/Archives/edgar/data/0001845257/000119312526336057/lfst-20260806.htm" TargetMode="External"/><Relationship Id="rId14" Type="http://schemas.openxmlformats.org/officeDocument/2006/relationships/hyperlink" Target="http://www.sec.gov/Archives/edgar/data/1845257/000095017022004096/lfst-ex4_2.htm" TargetMode="External"/><Relationship Id="rId15" Type="http://schemas.openxmlformats.org/officeDocument/2006/relationships/image" Target="media/image2.jpeg"/><Relationship Id="rId16" Type="http://schemas.openxmlformats.org/officeDocument/2006/relationships/hyperlink" Target="http://www.sec.gov/Archives/edgar/data/1845257/000095017024022131/lfst-20231231.htm" TargetMode="External"/><Relationship Id="rId17" Type="http://schemas.openxmlformats.org/officeDocument/2006/relationships/hyperlink" Target="http://www.sec.gov/Archives/edgar/data/1845257/000095017024056989/lfst-20240331.htm" TargetMode="External"/><Relationship Id="rId18" Type="http://schemas.openxmlformats.org/officeDocument/2006/relationships/hyperlink" Target="http://www.sec.gov/Archives/edgar/data/1845257/000095017024046929/lfst-20240422.htm" TargetMode="External"/><Relationship Id="rId19" Type="http://schemas.openxmlformats.org/officeDocument/2006/relationships/hyperlink" Target="http://www.sec.gov/Archives/edgar/data/1845257/000119312524022199/d701308d8k.htm" TargetMode="External"/><Relationship Id="rId20" Type="http://schemas.openxmlformats.org/officeDocument/2006/relationships/hyperlink" Target="http://www.sec.gov/Archives/edgar/data/1845257/000095017024029684/lfst-20240312.htm" TargetMode="External"/><Relationship Id="rId21" Type="http://schemas.openxmlformats.org/officeDocument/2006/relationships/hyperlink" Target="http://www.sec.gov/Archives/edgar/data/1845257/000095017024056089/lfst-20240506.htm" TargetMode="External"/><Relationship Id="rId22" Type="http://schemas.openxmlformats.org/officeDocument/2006/relationships/hyperlink" Target="http://www.sec.gov/Archives/edgar/data/1845257/000095017022004096/lfst-ex4_2.htm" TargetMode="External"/><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21310</Words>
  <Characters>113428</Characters>
  <CharactersWithSpaces>135125</CharactersWithSpaces>
  <Paragraphs>1258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