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fst-20260630.htm"/>
      <w:bookmarkStart w:id="1" w:name="kslfst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001-40478</w:t>
      </w:r>
    </w:p>
    <w:p>
      <w:pPr>
        <w:pStyle w:val="TextBody"/>
        <w:pBdr>
          <w:bottom w:val="single" w:sz="4" w:space="1" w:color="000000"/>
        </w:pBdr>
        <w:bidi w:val="0"/>
        <w:spacing w:before="60" w:after="6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LifeStance Health 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091"/>
        <w:gridCol w:w="1246"/>
      </w:tblGrid>
      <w:tr>
        <w:trPr/>
        <w:tc>
          <w:tcPr>
            <w:tcW w:w="309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86-1832801</w:t>
            </w:r>
          </w:p>
        </w:tc>
      </w:tr>
      <w:tr>
        <w:trPr/>
        <w:tc>
          <w:tcPr>
            <w:tcW w:w="30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09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4800 N. Scottsdale Road</w:t>
            </w:r>
            <w:r>
              <w:rPr>
                <w:rFonts w:ascii="Times New Roman" w:hAnsi="Times New Roman"/>
                <w:color w:val="000000"/>
                <w:sz w:val="20"/>
              </w:rPr>
              <w:t xml:space="preserve"> </w:t>
            </w:r>
            <w:r>
              <w:rPr>
                <w:rFonts w:ascii="Times New Roman" w:hAnsi="Times New Roman"/>
                <w:b/>
                <w:color w:val="000000"/>
                <w:sz w:val="20"/>
              </w:rPr>
              <w:t>Suite 2500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Scottsdale, Arizona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85251</w:t>
            </w:r>
          </w:p>
        </w:tc>
      </w:tr>
      <w:tr>
        <w:trPr/>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(602) 767-2100</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3346"/>
        <w:gridCol w:w="146"/>
        <w:gridCol w:w="826"/>
        <w:gridCol w:w="146"/>
        <w:gridCol w:w="3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LFST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July 29, 2026, the registrant had 382,055,609</w:t>
      </w:r>
      <w:r>
        <w:rPr>
          <w:rFonts w:ascii="Times New Roman" w:hAnsi="Times New Roman"/>
          <w:color w:val="000000"/>
          <w:sz w:val="20"/>
        </w:rPr>
        <w:t xml:space="preserve"> </w:t>
      </w:r>
      <w:r>
        <w:rPr>
          <w:rFonts w:ascii="Times New Roman" w:hAnsi="Times New Roman"/>
          <w:color w:val="000000"/>
          <w:sz w:val="18"/>
        </w:rPr>
        <w:t>shares of common stock, $0.01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
              <w:r>
                <w:rPr>
                  <w:rStyle w:val="InternetLink"/>
                  <w:rFonts w:ascii="Times New Roman" w:hAnsi="Times New Roman"/>
                  <w:color w:val="0000FF"/>
                  <w:sz w:val="20"/>
                  <w:u w:val="single"/>
                </w:rPr>
                <w:t>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income_loss">
              <w:r>
                <w:rPr>
                  <w:rStyle w:val="InternetLink"/>
                  <w:rFonts w:ascii="Times New Roman" w:hAnsi="Times New Roman"/>
                  <w:color w:val="0000FF"/>
                  <w:sz w:val="20"/>
                  <w:u w:val="single"/>
                </w:rPr>
                <w:t>Consolidated Statements of Operations and Comprehensive Income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equity">
              <w:r>
                <w:rPr>
                  <w:rStyle w:val="InternetLink"/>
                  <w:rFonts w:ascii="Times New Roman" w:hAnsi="Times New Roman"/>
                  <w:color w:val="0000FF"/>
                  <w:sz w:val="20"/>
                  <w:u w:val="single"/>
                </w:rPr>
                <w:t>Consolidated Statements of Changes in Stockholders'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cash_flow">
              <w:r>
                <w:rPr>
                  <w:rStyle w:val="InternetLink"/>
                  <w:rFonts w:ascii="Times New Roman" w:hAnsi="Times New Roman"/>
                  <w:color w:val="0000FF"/>
                  <w:sz w:val="20"/>
                  <w:u w:val="single"/>
                </w:rPr>
                <w:t>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Times New Roman" w:hAnsi="Times New Roman"/>
                  <w:color w:val="0000FF"/>
                  <w:sz w:val="20"/>
                  <w:u w:val="single"/>
                </w:rPr>
                <w:t>Notes to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Forward-looking statements are neither historical facts nor assurances of future performance. Instead, they are based on our current beliefs, expectations and assumptions regarding the future of our business, future plans and strategies, and other future conditions. Forward-looking statements can be identified by words such as “anticipate,” “believe,” “envision,” “estimate,” “expect,” “intend,” “may,” “plan,” “predict,” “project,” “target,” “potential,” “will,” “would,” “could,” “should,” “continue,” “contemplate” and other similar expressions, although not all forward-looking statements contain these identifying words. For example, all statements we make relating to: our ability to grow our business, expand access to our patients and our payors and invest in our platform; our plan to partner with additional hospital systems, large primary care groups and other specialist groups; our expectation that we will continue to open new centers and acquire new centers; our growth rates and financial results; our plans and objectives for future operations, growth or initiatives and strategies; and our expected market opportunity are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in Part II, Item 1A, “Risk Factors” and elsewhere in this Quarterly Report on Form 10-Q, our Annual Report on Form 10-K for the year ended December 31, 2025 filed with the Securities and Exchange Commission (the "SEC") on February 25, 2026, including,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reimbursement rates paid by third-party payors are reduced or if third-party payors otherwise restrain our ability to obtain or deliver care to patients, our business could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grow at the rates we historically have achieved or at all, even if our key metrics may imply future growth, including if we are unable to successfully execute on our growth initiatives and business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manage our growth effectively, our expenses could increase more than expected, our revenue may not increase proportionally or at all, and we may be unable to execute on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depends on our ability to recruit, acquire and retain clinicians;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competitive industry, and if we are not able to compete effectively, our business and financial performance would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on our ability to effectively invest in, implement improvements to and properly maintain the uninterrupted operation and data integrity of our information technology and other business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business in a heavily regulated industry and if we fail to comply with these laws and government regulations, we could incur penalties or be required to make significant changes to our operations or experience adverse publicity, which could have a material adverse effect on our business, results of operations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our relationships with supported practices, which we do not own, to provide healthcare services, and our business would be harmed if those relationships were disrupted or if our arrangements with these entities became subject to legal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adapt to healthcare reform legislation and other changes in the healthcare industry and in healthcare spending, our business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or our vendors’ security measures fail or are breached and unauthorized access to our employees’, patients’ or partners’ data is obtained, our systems may be perceived as insecure, we may incur significant liabilities, including through private litigation or regulatory action, our reputation may be harmed, and we could lose patients and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indebtedness could adversely affect our business and growth prospects;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set forth under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represent our views as of the date of this report. We undertake no obligation to publicly update any forward-looking statements whether as a result of new information, future developments or otherwise, except as required by law.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 (Unaudited).</w:t>
      </w:r>
    </w:p>
    <w:p>
      <w:pPr>
        <w:pStyle w:val="TextBody"/>
        <w:bidi w:val="0"/>
        <w:spacing w:before="120" w:after="283"/>
        <w:jc w:val="center"/>
        <w:rPr/>
      </w:pPr>
      <w:r>
        <w:rPr/>
        <w:t> </w:t>
      </w:r>
    </w:p>
    <w:p>
      <w:pPr>
        <w:pStyle w:val="TextBody"/>
        <w:bidi w:val="0"/>
        <w:spacing w:before="200" w:after="283"/>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For the quarterly period ended June 30, 2026</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
      <w:bookmarkEnd w:id="4"/>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for par value)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112"/>
        <w:gridCol w:w="146"/>
        <w:gridCol w:w="233"/>
        <w:gridCol w:w="1031"/>
        <w:gridCol w:w="166"/>
        <w:gridCol w:w="146"/>
        <w:gridCol w:w="309"/>
        <w:gridCol w:w="1369"/>
        <w:gridCol w:w="693"/>
      </w:tblGrid>
      <w:tr>
        <w:trPr/>
        <w:tc>
          <w:tcPr>
            <w:tcW w:w="6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248,642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Patient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95,710</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71,848</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416,200</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161,583</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149,720</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177,665</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1,293,346</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1,787,733</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2,203,933</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payroll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143,327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42,187</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45,544</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14,782</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251,962</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265,927</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148,553</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16,408</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430,956</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682,918</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 par value $0.01 per share; 25,000 shares authorized as of </w:t>
              <w:br/>
              <w:t xml:space="preserve">   June 30, 2026 and December 31, 2025; 0 shares issued and outstanding as </w:t>
              <w:br/>
              <w:t>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 par value $0.01 per share; 800,000 shares authorized as of </w:t>
              <w:br/>
              <w:t xml:space="preserve">   June 30, 2026 and December 31, 2025; 382,022 and 388,318 shares </w:t>
              <w:br/>
              <w:t>   issued and outstanding as of June 30, 2026 and December 31, 2025,</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2,325,758</w:t>
            </w:r>
          </w:p>
        </w:tc>
        <w:tc>
          <w:tcPr>
            <w:tcW w:w="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(808,626</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1,521,015</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11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2,203,933</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b/>
          <w:caps/>
          <w:color w:val="000000"/>
          <w:sz w:val="20"/>
        </w:rPr>
      </w:pPr>
      <w:bookmarkStart w:id="5" w:name="consolidated_income_loss"/>
      <w:bookmarkEnd w:id="5"/>
      <w:r>
        <w:rPr>
          <w:rFonts w:ascii="Times New Roman" w:hAnsi="Times New Roman"/>
          <w:b/>
          <w:caps/>
          <w:color w:val="000000"/>
          <w:sz w:val="20"/>
        </w:rPr>
        <w:t>consolidated statements of 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39"/>
        <w:gridCol w:w="146"/>
        <w:gridCol w:w="240"/>
        <w:gridCol w:w="890"/>
        <w:gridCol w:w="188"/>
        <w:gridCol w:w="165"/>
        <w:gridCol w:w="240"/>
        <w:gridCol w:w="890"/>
        <w:gridCol w:w="166"/>
        <w:gridCol w:w="146"/>
        <w:gridCol w:w="218"/>
        <w:gridCol w:w="810"/>
        <w:gridCol w:w="171"/>
        <w:gridCol w:w="150"/>
        <w:gridCol w:w="218"/>
        <w:gridCol w:w="810"/>
        <w:gridCol w:w="618"/>
      </w:tblGrid>
      <w:tr>
        <w:trPr/>
        <w:tc>
          <w:tcPr>
            <w:tcW w:w="4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435,354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838,830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678,281</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Center costs, excluding depreciation and</w:t>
              <w:br/>
              <w:t>  amortization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282,313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549,857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460,059</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191,806</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27,762</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404,701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785,893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679,627</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contingent</w:t>
              <w:br/>
              <w: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383,516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385,379</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385,015</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387,299</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391,181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385,015</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losses on cash flow hedge,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6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solidated_equity"/>
      <w:bookmarkEnd w:id="6"/>
      <w:r>
        <w:rPr>
          <w:rFonts w:ascii="Times New Roman" w:hAnsi="Times New Roman"/>
          <w:b/>
          <w:color w:val="000000"/>
          <w:sz w:val="20"/>
        </w:rPr>
        <w:t>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70"/>
        <w:gridCol w:w="146"/>
        <w:gridCol w:w="146"/>
        <w:gridCol w:w="781"/>
        <w:gridCol w:w="166"/>
        <w:gridCol w:w="146"/>
        <w:gridCol w:w="211"/>
        <w:gridCol w:w="571"/>
        <w:gridCol w:w="166"/>
        <w:gridCol w:w="146"/>
        <w:gridCol w:w="211"/>
        <w:gridCol w:w="931"/>
        <w:gridCol w:w="166"/>
        <w:gridCol w:w="146"/>
        <w:gridCol w:w="243"/>
        <w:gridCol w:w="973"/>
        <w:gridCol w:w="166"/>
        <w:gridCol w:w="146"/>
        <w:gridCol w:w="305"/>
        <w:gridCol w:w="1356"/>
        <w:gridCol w:w="313"/>
      </w:tblGrid>
      <w:tr>
        <w:trPr/>
        <w:tc>
          <w:tcPr>
            <w:tcW w:w="2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1,477,416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upon</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1,477,148</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69"/>
        <w:gridCol w:w="146"/>
        <w:gridCol w:w="146"/>
        <w:gridCol w:w="781"/>
        <w:gridCol w:w="166"/>
        <w:gridCol w:w="146"/>
        <w:gridCol w:w="211"/>
        <w:gridCol w:w="571"/>
        <w:gridCol w:w="166"/>
        <w:gridCol w:w="146"/>
        <w:gridCol w:w="211"/>
        <w:gridCol w:w="931"/>
        <w:gridCol w:w="166"/>
        <w:gridCol w:w="146"/>
        <w:gridCol w:w="439"/>
        <w:gridCol w:w="1004"/>
        <w:gridCol w:w="166"/>
        <w:gridCol w:w="146"/>
        <w:gridCol w:w="243"/>
        <w:gridCol w:w="973"/>
        <w:gridCol w:w="166"/>
        <w:gridCol w:w="146"/>
        <w:gridCol w:w="222"/>
        <w:gridCol w:w="985"/>
        <w:gridCol w:w="313"/>
      </w:tblGrid>
      <w:tr>
        <w:trPr/>
        <w:tc>
          <w:tcPr>
            <w:tcW w:w="1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1,457,099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upon</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1,473,921</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LIFESTANCE HEALTH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70"/>
        <w:gridCol w:w="146"/>
        <w:gridCol w:w="146"/>
        <w:gridCol w:w="781"/>
        <w:gridCol w:w="166"/>
        <w:gridCol w:w="146"/>
        <w:gridCol w:w="211"/>
        <w:gridCol w:w="571"/>
        <w:gridCol w:w="166"/>
        <w:gridCol w:w="146"/>
        <w:gridCol w:w="211"/>
        <w:gridCol w:w="931"/>
        <w:gridCol w:w="166"/>
        <w:gridCol w:w="146"/>
        <w:gridCol w:w="243"/>
        <w:gridCol w:w="973"/>
        <w:gridCol w:w="166"/>
        <w:gridCol w:w="146"/>
        <w:gridCol w:w="305"/>
        <w:gridCol w:w="1356"/>
        <w:gridCol w:w="313"/>
      </w:tblGrid>
      <w:tr>
        <w:trPr/>
        <w:tc>
          <w:tcPr>
            <w:tcW w:w="2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1,521,015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upon</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1,477,148</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69"/>
        <w:gridCol w:w="146"/>
        <w:gridCol w:w="146"/>
        <w:gridCol w:w="781"/>
        <w:gridCol w:w="166"/>
        <w:gridCol w:w="146"/>
        <w:gridCol w:w="211"/>
        <w:gridCol w:w="571"/>
        <w:gridCol w:w="166"/>
        <w:gridCol w:w="146"/>
        <w:gridCol w:w="211"/>
        <w:gridCol w:w="931"/>
        <w:gridCol w:w="166"/>
        <w:gridCol w:w="146"/>
        <w:gridCol w:w="439"/>
        <w:gridCol w:w="1004"/>
        <w:gridCol w:w="166"/>
        <w:gridCol w:w="146"/>
        <w:gridCol w:w="243"/>
        <w:gridCol w:w="973"/>
        <w:gridCol w:w="166"/>
        <w:gridCol w:w="146"/>
        <w:gridCol w:w="222"/>
        <w:gridCol w:w="985"/>
        <w:gridCol w:w="313"/>
      </w:tblGrid>
      <w:tr>
        <w:trPr/>
        <w:tc>
          <w:tcPr>
            <w:tcW w:w="1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1,446,285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upon</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(821,371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1,473,921</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LIFESTANCE HEALTH GROUP, INC.</w:t>
      </w:r>
    </w:p>
    <w:p>
      <w:pPr>
        <w:pStyle w:val="TextBody"/>
        <w:bidi w:val="0"/>
        <w:jc w:val="center"/>
        <w:rPr>
          <w:rFonts w:ascii="Times New Roman" w:hAnsi="Times New Roman"/>
          <w:sz w:val="20"/>
        </w:rPr>
      </w:pPr>
      <w:bookmarkStart w:id="7" w:name="consolidated_cash_flow"/>
      <w:bookmarkEnd w:id="7"/>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9685" w:type="dxa"/>
        <w:jc w:val="left"/>
        <w:tblInd w:w="0" w:type="dxa"/>
        <w:tblLayout w:type="fixed"/>
        <w:tblCellMar>
          <w:top w:w="28" w:type="dxa"/>
          <w:left w:w="28" w:type="dxa"/>
          <w:bottom w:w="28" w:type="dxa"/>
          <w:right w:w="28" w:type="dxa"/>
        </w:tblCellMar>
      </w:tblPr>
      <w:tblGrid>
        <w:gridCol w:w="6346"/>
        <w:gridCol w:w="146"/>
        <w:gridCol w:w="213"/>
        <w:gridCol w:w="851"/>
        <w:gridCol w:w="168"/>
        <w:gridCol w:w="147"/>
        <w:gridCol w:w="213"/>
        <w:gridCol w:w="790"/>
        <w:gridCol w:w="811"/>
      </w:tblGrid>
      <w:tr>
        <w:trPr/>
        <w:tc>
          <w:tcPr>
            <w:tcW w:w="6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discount and debt issue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 net of businesses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Patient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payroll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businesses,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(97,625</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248,642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225,943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188,929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taxes, net of refunds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NON-CASH INVESTING AND</w:t>
              <w:br/>
              <w:t>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incurred in acquisitions of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 included in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LIFESTANCE HEALTH GROUP, INC.</w:t>
      </w:r>
    </w:p>
    <w:p>
      <w:pPr>
        <w:pStyle w:val="TextBody"/>
        <w:bidi w:val="0"/>
        <w:jc w:val="center"/>
        <w:rPr>
          <w:rFonts w:ascii="Times New Roman" w:hAnsi="Times New Roman"/>
          <w:b/>
          <w:color w:val="000000"/>
          <w:sz w:val="20"/>
        </w:rPr>
      </w:pPr>
      <w:bookmarkStart w:id="8" w:name="notes_financial_statements"/>
      <w:bookmarkEnd w:id="8"/>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 NATURE OF THE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LifeStance Health Group, Inc. ("LifeStance" or the "Company") operates as a provider of outpatient mental health services, spanning psychiatric evaluations and treatment, psychological and neuropsychological testing, and individual, family and group therapy.</w:t>
      </w:r>
    </w:p>
    <w:p>
      <w:pPr>
        <w:pStyle w:val="TextBody"/>
        <w:bidi w:val="0"/>
        <w:spacing w:before="24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discussed in Note 2 "Summary of Significant Accounting Policies" in Item 15 of its Annual Report on Form 10-K for the year ended December 31, 2025. During the six months ended June 30, 2026, there have been no significant changes to these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prepared the accompanying unaudited consolidated financial statements pursuant to the rules and regulations of the SEC regarding interim financial reporting, which include the accounts of LifeStance, its wholly-owned subsidiaries and variable interest entities ("VIEs") in which LifeStance has an interest and is the primary beneficiary. Pursuant to these rules and regulations, the Company has omitted certain information and footnote disclosures it normally includes in its annual consolidated financial statements prepared in accordance with U.S. generally accepted accounting principles (“GAAP”). All intercompany balances and transactions have been eliminated in consolidation. In management’s opinion, the Company has made all adjustments (consisting only of normal, recurring adjustments, except as otherwise indicated) necessary to fairly state its consolidated financial condition, results of operations and cash flows. The Company’s interim period operating results do not necessarily indicate the results that may be expected for any other interim period or the full fiscal year. These financial statements and accompanying notes should be read in conjunction with the consolidated financial statements and notes thereto in the Company’s audited financial statements for the year ended December 31, 2025 in the Company's Annual Report on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a number of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single operating and reportable segment – mental health services. As the Company operates as one operating segment, all required segment financial information is found in the accompanying unaudited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chief operating decision maker assesses performance for the mental health services segment and decides how to allocate resources based on net income (loss), which is reported on the accompanying unaudited consolidated statements of operations and comprehensive income (loss) as net income (loss). Net income (loss) is used to monitor budget versus actual results for assessment of segment performance. The chief operating decision maker considers budget-to-actual variances on a monthly basis when making decisions about allocating resources and assessing the performance of the segment. The chief operating decision maker utilizes consolidated expense information regularly provided in the budget-to-actual analysis in order to assist with assessing performance and deciding how to allocate resources, which align with the consolidated expense categories as disclosed on the face of the accompanying unaudited consolidated statements of operations and 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accompanying consolidated balance sheets as total assets. The chief operating decision maker does not utilize total assets in the assessment of performance and allocation of resource decisions as the assessment and decisions are not made on the basis of total assets.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Variable Interest Entities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its ownership, contractual and other interests in entities to determine if it has any variable interest in a VIE. These evaluations are complex, involve judgment, and the use of estimates and assumptions based on available information.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significant to the VIE. The Company performs ongoing reassessments of whether changes in the facts and circumstances regarding the Company’s involvement with a VIE will cause the consolidation conclusion to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acquires and operates certain care centers which are deemed to be Friendly-Physician Entities (“FPEs”). As part of an FPE acquisition, the Company acquires 100% of the non-medical assets; however, due to legal requirements the physician-owners must retain 100% of the equity interest. The Company’s agreements with FPEs generally consist of both a Management Service Agreement, which provides for various administrative and management services to be provided by the Company to the FPE, and Stock Transfer Restriction (“STR”) agreements with the physician-owners of the FPEs, which provide for the transition of ownership interests of the FPEs under certain conditions. The outstanding voting equity instruments of the FPEs are owned by the nominee shareholders appointed by the Company under the terms of the STR agreements. The Company has the right to receive income as an ongoing management fee, which effectively absorbs all of the residual interests and has also provided financial support through loans to the FPEs. The Company has exclusive responsibility for the provision of all nonmedical services including facilities, technology and intellectual property required for the day-to-day operation and management of each of the FPEs, and makes recommendations to the FPEs in establishing the guidelines for the employment and compensation of the physicians and other employees of the FPEs. In addition, the STR agreements provide that the Company has the right to designate an appropriately licensed person(s) to purchase the equity interest of the FPE for a nominal amount in the event of a succession event at the Company’s discretion. Based on the provisions of these agreements, the Company determined that the FPEs are VIEs due to the equity holder having insufficient capital at risk, and the Company has a variable interest in the FPEs.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contractual arrangements described above allow the Company to direct the activities that most significantly affect the economic performance of the FPEs. Accordingly, the Company is the primary beneficiary of the FPEs and consolidates the FPEs under the VIE model. Furthermore, as a direct result of nominal initial equity contributions by the physicians, the financial support the Company provides to the FPEs (e.g., loans) and the provisions of the contractual arrangements and nominee shareholder succession arrangements described above, the interests held by noncontrolling interest holders lack economic substance and do not provide them with the ability to participate in the residual profits or losses generated by the FPEs. Therefore, all income and expenses recognized by the FPEs are allocated to the Company. The Company does not hold interests in any VIEs for which the Company is not deemed to be the primary beneficiary.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previously, the Company acquires 100% of the non-medical assets of the VIEs. The aggregate carrying values of the VIEs' total assets and total liabilities not purchased by the Company but included on the consolidated balance sheets were not material at June 30, 2026 and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 Not Yet Adopted</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xml:space="preserve"> ("ASU 2024-03"). ASU 2024-03 requires disclosure of additional information about specific expense categories in the notes to the financial statements. ASU 2024-03 is effective for public business entities for annual reporting periods beginning after December 15, 2026, and interim reporting periods within those fiscal years. Early adoption is permitted and should be applied either prospectively to financial statements issued for reporting periods after the effective date of ASU 2024-03 or retrospectively to any or all periods presented in the financial statements. The Company is in the process of evaluating the impact of the adoption of ASU 2024-03 on the Company's consolidated financial statements and disclosures.</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NOTE 3 TOTAL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total revenue is dependent on a series of contracts with third-party payors, which is typical for providers in the healthcare industry. The Company has determined that the nature, amount, timing and uncertainty of revenue and cash flows are affected by the payor mix with third-party payors, which have different reimbursement rates.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payor mix of fee-for-service revenue from patients and third-party payors consists of the following:</w:t>
      </w:r>
    </w:p>
    <w:tbl>
      <w:tblPr>
        <w:tblW w:w="11569" w:type="dxa"/>
        <w:jc w:val="left"/>
        <w:tblInd w:w="0" w:type="dxa"/>
        <w:tblLayout w:type="fixed"/>
        <w:tblCellMar>
          <w:top w:w="28" w:type="dxa"/>
          <w:left w:w="28" w:type="dxa"/>
          <w:bottom w:w="28" w:type="dxa"/>
          <w:right w:w="28" w:type="dxa"/>
        </w:tblCellMar>
      </w:tblPr>
      <w:tblGrid>
        <w:gridCol w:w="1126"/>
        <w:gridCol w:w="146"/>
        <w:gridCol w:w="211"/>
        <w:gridCol w:w="781"/>
        <w:gridCol w:w="146"/>
        <w:gridCol w:w="146"/>
        <w:gridCol w:w="212"/>
        <w:gridCol w:w="614"/>
        <w:gridCol w:w="301"/>
        <w:gridCol w:w="146"/>
        <w:gridCol w:w="211"/>
        <w:gridCol w:w="781"/>
        <w:gridCol w:w="146"/>
        <w:gridCol w:w="146"/>
        <w:gridCol w:w="212"/>
        <w:gridCol w:w="614"/>
        <w:gridCol w:w="301"/>
        <w:gridCol w:w="146"/>
        <w:gridCol w:w="211"/>
        <w:gridCol w:w="781"/>
        <w:gridCol w:w="146"/>
        <w:gridCol w:w="146"/>
        <w:gridCol w:w="212"/>
        <w:gridCol w:w="614"/>
        <w:gridCol w:w="301"/>
        <w:gridCol w:w="146"/>
        <w:gridCol w:w="211"/>
        <w:gridCol w:w="781"/>
        <w:gridCol w:w="146"/>
        <w:gridCol w:w="146"/>
        <w:gridCol w:w="212"/>
        <w:gridCol w:w="614"/>
        <w:gridCol w:w="51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 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 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 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 Revenue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Self-pay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patient service</w:t>
              <w:br/>
              <w: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Nonpatient service</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435,354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345,311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838,830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678,281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Among the commercial payors, the table below represents insurance companies that individually represented 10% or more of revenue:</w:t>
      </w:r>
    </w:p>
    <w:tbl>
      <w:tblPr>
        <w:tblW w:w="6649" w:type="dxa"/>
        <w:jc w:val="left"/>
        <w:tblInd w:w="0" w:type="dxa"/>
        <w:tblLayout w:type="fixed"/>
        <w:tblCellMar>
          <w:top w:w="28" w:type="dxa"/>
          <w:left w:w="28" w:type="dxa"/>
          <w:bottom w:w="28" w:type="dxa"/>
          <w:right w:w="28" w:type="dxa"/>
        </w:tblCellMar>
      </w:tblPr>
      <w:tblGrid>
        <w:gridCol w:w="766"/>
        <w:gridCol w:w="146"/>
        <w:gridCol w:w="285"/>
        <w:gridCol w:w="618"/>
        <w:gridCol w:w="530"/>
        <w:gridCol w:w="285"/>
        <w:gridCol w:w="285"/>
        <w:gridCol w:w="618"/>
        <w:gridCol w:w="271"/>
        <w:gridCol w:w="146"/>
        <w:gridCol w:w="259"/>
        <w:gridCol w:w="562"/>
        <w:gridCol w:w="482"/>
        <w:gridCol w:w="259"/>
        <w:gridCol w:w="259"/>
        <w:gridCol w:w="562"/>
        <w:gridCol w:w="316"/>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Payor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Payor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consists of the following:</w:t>
      </w:r>
    </w:p>
    <w:tbl>
      <w:tblPr>
        <w:tblW w:w="6885" w:type="dxa"/>
        <w:jc w:val="left"/>
        <w:tblInd w:w="0" w:type="dxa"/>
        <w:tblLayout w:type="fixed"/>
        <w:tblCellMar>
          <w:top w:w="28" w:type="dxa"/>
          <w:left w:w="28" w:type="dxa"/>
          <w:bottom w:w="28" w:type="dxa"/>
          <w:right w:w="28" w:type="dxa"/>
        </w:tblCellMar>
      </w:tblPr>
      <w:tblGrid>
        <w:gridCol w:w="3116"/>
        <w:gridCol w:w="146"/>
        <w:gridCol w:w="255"/>
        <w:gridCol w:w="1020"/>
        <w:gridCol w:w="166"/>
        <w:gridCol w:w="146"/>
        <w:gridCol w:w="346"/>
        <w:gridCol w:w="1379"/>
        <w:gridCol w:w="31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Medical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161,583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Depreciation expense consists of the following:</w:t>
      </w:r>
    </w:p>
    <w:tbl>
      <w:tblPr>
        <w:tblW w:w="7511" w:type="dxa"/>
        <w:jc w:val="left"/>
        <w:tblInd w:w="0" w:type="dxa"/>
        <w:tblLayout w:type="fixed"/>
        <w:tblCellMar>
          <w:top w:w="28" w:type="dxa"/>
          <w:left w:w="28" w:type="dxa"/>
          <w:bottom w:w="28" w:type="dxa"/>
          <w:right w:w="28" w:type="dxa"/>
        </w:tblCellMar>
      </w:tblPr>
      <w:tblGrid>
        <w:gridCol w:w="1876"/>
        <w:gridCol w:w="146"/>
        <w:gridCol w:w="268"/>
        <w:gridCol w:w="859"/>
        <w:gridCol w:w="185"/>
        <w:gridCol w:w="185"/>
        <w:gridCol w:w="268"/>
        <w:gridCol w:w="859"/>
        <w:gridCol w:w="146"/>
        <w:gridCol w:w="146"/>
        <w:gridCol w:w="243"/>
        <w:gridCol w:w="780"/>
        <w:gridCol w:w="168"/>
        <w:gridCol w:w="168"/>
        <w:gridCol w:w="243"/>
        <w:gridCol w:w="780"/>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its office facilities and office equipment which are accounted for as operating leases. Some leases contain clauses for renewal at the Company's option with renewal terms that generally extend the lease term from one to seven years.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components of lease expense for the Company's operating leases in its unaudited consolidated statements of operations and comprehensive income (loss) were as follows: </w:t>
      </w:r>
    </w:p>
    <w:tbl>
      <w:tblPr>
        <w:tblW w:w="7466" w:type="dxa"/>
        <w:jc w:val="left"/>
        <w:tblInd w:w="0" w:type="dxa"/>
        <w:tblLayout w:type="fixed"/>
        <w:tblCellMar>
          <w:top w:w="28" w:type="dxa"/>
          <w:left w:w="28" w:type="dxa"/>
          <w:bottom w:w="28" w:type="dxa"/>
          <w:right w:w="28" w:type="dxa"/>
        </w:tblCellMar>
      </w:tblPr>
      <w:tblGrid>
        <w:gridCol w:w="1831"/>
        <w:gridCol w:w="146"/>
        <w:gridCol w:w="268"/>
        <w:gridCol w:w="859"/>
        <w:gridCol w:w="185"/>
        <w:gridCol w:w="185"/>
        <w:gridCol w:w="268"/>
        <w:gridCol w:w="859"/>
        <w:gridCol w:w="146"/>
        <w:gridCol w:w="146"/>
        <w:gridCol w:w="243"/>
        <w:gridCol w:w="780"/>
        <w:gridCol w:w="168"/>
        <w:gridCol w:w="168"/>
        <w:gridCol w:w="243"/>
        <w:gridCol w:w="780"/>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29,458</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Variable lease costs and short-term lease costs were not material.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weighted-average remaining lease term and discount rate for operating lease liabilities included in the consolidated balance sheets are as follows:</w:t>
      </w:r>
    </w:p>
    <w:tbl>
      <w:tblPr>
        <w:tblW w:w="8005" w:type="dxa"/>
        <w:jc w:val="left"/>
        <w:tblInd w:w="0" w:type="dxa"/>
        <w:tblLayout w:type="fixed"/>
        <w:tblCellMar>
          <w:top w:w="28" w:type="dxa"/>
          <w:left w:w="28" w:type="dxa"/>
          <w:bottom w:w="28" w:type="dxa"/>
          <w:right w:w="28" w:type="dxa"/>
        </w:tblCellMar>
      </w:tblPr>
      <w:tblGrid>
        <w:gridCol w:w="4126"/>
        <w:gridCol w:w="146"/>
        <w:gridCol w:w="304"/>
        <w:gridCol w:w="971"/>
        <w:gridCol w:w="271"/>
        <w:gridCol w:w="146"/>
        <w:gridCol w:w="411"/>
        <w:gridCol w:w="1314"/>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cash flow information related to operating leases was as follows:</w:t>
      </w:r>
    </w:p>
    <w:tbl>
      <w:tblPr>
        <w:tblW w:w="9565" w:type="dxa"/>
        <w:jc w:val="left"/>
        <w:tblInd w:w="0" w:type="dxa"/>
        <w:tblLayout w:type="fixed"/>
        <w:tblCellMar>
          <w:top w:w="28" w:type="dxa"/>
          <w:left w:w="28" w:type="dxa"/>
          <w:bottom w:w="28" w:type="dxa"/>
          <w:right w:w="28" w:type="dxa"/>
        </w:tblCellMar>
      </w:tblPr>
      <w:tblGrid>
        <w:gridCol w:w="6746"/>
        <w:gridCol w:w="146"/>
        <w:gridCol w:w="243"/>
        <w:gridCol w:w="780"/>
        <w:gridCol w:w="168"/>
        <w:gridCol w:w="168"/>
        <w:gridCol w:w="243"/>
        <w:gridCol w:w="780"/>
        <w:gridCol w:w="291"/>
      </w:tblGrid>
      <w:tr>
        <w:trPr/>
        <w:tc>
          <w:tcPr>
            <w:tcW w:w="6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lease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lease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future minimum lease payments under non-cancellable operating leases as of June 30, 2026 are as follows:</w:t>
      </w:r>
    </w:p>
    <w:tbl>
      <w:tblPr>
        <w:tblW w:w="3775" w:type="dxa"/>
        <w:jc w:val="left"/>
        <w:tblInd w:w="0" w:type="dxa"/>
        <w:tblLayout w:type="fixed"/>
        <w:tblCellMar>
          <w:top w:w="28" w:type="dxa"/>
          <w:left w:w="28" w:type="dxa"/>
          <w:bottom w:w="28" w:type="dxa"/>
          <w:right w:w="28" w:type="dxa"/>
        </w:tblCellMar>
      </w:tblPr>
      <w:tblGrid>
        <w:gridCol w:w="2326"/>
        <w:gridCol w:w="146"/>
        <w:gridCol w:w="211"/>
        <w:gridCol w:w="781"/>
        <w:gridCol w:w="3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239,138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200,659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GOODWILL AND INTANGIBLE ASSETS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changes in the carrying amount of goodwill:</w:t>
      </w:r>
    </w:p>
    <w:tbl>
      <w:tblPr>
        <w:tblW w:w="4400" w:type="dxa"/>
        <w:jc w:val="left"/>
        <w:tblInd w:w="0" w:type="dxa"/>
        <w:tblLayout w:type="fixed"/>
        <w:tblCellMar>
          <w:top w:w="28" w:type="dxa"/>
          <w:left w:w="28" w:type="dxa"/>
          <w:bottom w:w="28" w:type="dxa"/>
          <w:right w:w="28" w:type="dxa"/>
        </w:tblCellMar>
      </w:tblPr>
      <w:tblGrid>
        <w:gridCol w:w="2821"/>
        <w:gridCol w:w="146"/>
        <w:gridCol w:w="211"/>
        <w:gridCol w:w="931"/>
        <w:gridCol w:w="2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1,293,346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acquisitions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1,304,556</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Intangible assets consist of the following:</w:t>
      </w:r>
    </w:p>
    <w:tbl>
      <w:tblPr>
        <w:tblW w:w="9690" w:type="dxa"/>
        <w:jc w:val="left"/>
        <w:tblInd w:w="0" w:type="dxa"/>
        <w:tblLayout w:type="fixed"/>
        <w:tblCellMar>
          <w:top w:w="28" w:type="dxa"/>
          <w:left w:w="28" w:type="dxa"/>
          <w:bottom w:w="28" w:type="dxa"/>
          <w:right w:w="28" w:type="dxa"/>
        </w:tblCellMar>
      </w:tblPr>
      <w:tblGrid>
        <w:gridCol w:w="2476"/>
        <w:gridCol w:w="146"/>
        <w:gridCol w:w="344"/>
        <w:gridCol w:w="1276"/>
        <w:gridCol w:w="146"/>
        <w:gridCol w:w="146"/>
        <w:gridCol w:w="249"/>
        <w:gridCol w:w="997"/>
        <w:gridCol w:w="166"/>
        <w:gridCol w:w="146"/>
        <w:gridCol w:w="344"/>
        <w:gridCol w:w="1276"/>
        <w:gridCol w:w="146"/>
        <w:gridCol w:w="146"/>
        <w:gridCol w:w="332"/>
        <w:gridCol w:w="1063"/>
        <w:gridCol w:w="2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 Useful</w:t>
              <w:br/>
              <w:t>Life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Regional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LifeStance 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9690" w:type="dxa"/>
        <w:jc w:val="left"/>
        <w:tblInd w:w="0" w:type="dxa"/>
        <w:tblLayout w:type="fixed"/>
        <w:tblCellMar>
          <w:top w:w="28" w:type="dxa"/>
          <w:left w:w="28" w:type="dxa"/>
          <w:bottom w:w="28" w:type="dxa"/>
          <w:right w:w="28" w:type="dxa"/>
        </w:tblCellMar>
      </w:tblPr>
      <w:tblGrid>
        <w:gridCol w:w="2476"/>
        <w:gridCol w:w="146"/>
        <w:gridCol w:w="344"/>
        <w:gridCol w:w="1276"/>
        <w:gridCol w:w="146"/>
        <w:gridCol w:w="146"/>
        <w:gridCol w:w="249"/>
        <w:gridCol w:w="997"/>
        <w:gridCol w:w="166"/>
        <w:gridCol w:w="146"/>
        <w:gridCol w:w="344"/>
        <w:gridCol w:w="1276"/>
        <w:gridCol w:w="146"/>
        <w:gridCol w:w="146"/>
        <w:gridCol w:w="332"/>
        <w:gridCol w:w="1063"/>
        <w:gridCol w:w="2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 Useful</w:t>
              <w:br/>
              <w:t>Life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Regional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LifeStance 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Non-competition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366,729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Gross carrying amount is based on the fair value of the intangible assets determined at the acquisition date. Total intangible asset amortization expense consists of the following:</w:t>
      </w:r>
    </w:p>
    <w:tbl>
      <w:tblPr>
        <w:tblW w:w="7541" w:type="dxa"/>
        <w:jc w:val="left"/>
        <w:tblInd w:w="0" w:type="dxa"/>
        <w:tblLayout w:type="fixed"/>
        <w:tblCellMar>
          <w:top w:w="28" w:type="dxa"/>
          <w:left w:w="28" w:type="dxa"/>
          <w:bottom w:w="28" w:type="dxa"/>
          <w:right w:w="28" w:type="dxa"/>
        </w:tblCellMar>
      </w:tblPr>
      <w:tblGrid>
        <w:gridCol w:w="1906"/>
        <w:gridCol w:w="146"/>
        <w:gridCol w:w="298"/>
        <w:gridCol w:w="807"/>
        <w:gridCol w:w="206"/>
        <w:gridCol w:w="206"/>
        <w:gridCol w:w="298"/>
        <w:gridCol w:w="807"/>
        <w:gridCol w:w="146"/>
        <w:gridCol w:w="146"/>
        <w:gridCol w:w="271"/>
        <w:gridCol w:w="734"/>
        <w:gridCol w:w="187"/>
        <w:gridCol w:w="187"/>
        <w:gridCol w:w="271"/>
        <w:gridCol w:w="734"/>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BUSINESS COMBINATIONS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completed the acquisitions of three outpatient mental health practices for an aggregate purchase consideration of $13,072. The aggregate purchase consideration consisted of cash of $9,426 and contingent consideration with a fair value of $3,646. The Company accounted for the acquisitions as business combinations using the acquisition method of accounting. The purchase price was allocated to the tangible and intangible assets acquired and liabilities assumed based on their estimated fair values as of the respective acquisition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price allocations resulted in $11,210 of goodwill and $1,032 of acquired identifiable intangible assets related to regional trade names and non-competition agreements. Goodwill is primarily attributable to the assembled workforce, customer and payor relationships and anticipated synergies and economies of scale expected from the integration of the businesses. All goodwill is deductible for tax purposes.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FAIR VALUE MEASUREMENTS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Contingent Consideration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measures its contingent consideration liability at fair value on a recurring basis using Level 3 inputs. The Company estimates the fair value of the contingent consideration liability based on the likelihood and timing of the contingent earn-out payments. The following is the summary of the significant assumptions used for the fair value measurement of the contingent consideration liability as of June 30, 2026.</w:t>
      </w:r>
    </w:p>
    <w:tbl>
      <w:tblPr>
        <w:tblW w:w="5667" w:type="dxa"/>
        <w:jc w:val="left"/>
        <w:tblInd w:w="0" w:type="dxa"/>
        <w:tblLayout w:type="fixed"/>
        <w:tblCellMar>
          <w:top w:w="28" w:type="dxa"/>
          <w:left w:w="28" w:type="dxa"/>
          <w:bottom w:w="28" w:type="dxa"/>
          <w:right w:w="28" w:type="dxa"/>
        </w:tblCellMar>
      </w:tblPr>
      <w:tblGrid>
        <w:gridCol w:w="2551"/>
        <w:gridCol w:w="146"/>
        <w:gridCol w:w="1328"/>
        <w:gridCol w:w="163"/>
        <w:gridCol w:w="1479"/>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Technique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Range of Significant Assumptions</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Probability-weighted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 - 100%</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based earn-outs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adjusted the fair value of the contingent consideration liability due to remeasurement at the reporting date. The contingent consideration liability is included within other current liabilities on the unaudited consolidated balance sheets.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Fair Value Measured on a Recurring Basis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information about the Company’s assets that are measured at fair value on a recurring basis:</w:t>
      </w:r>
    </w:p>
    <w:tbl>
      <w:tblPr>
        <w:tblW w:w="7205" w:type="dxa"/>
        <w:jc w:val="left"/>
        <w:tblInd w:w="0" w:type="dxa"/>
        <w:tblLayout w:type="fixed"/>
        <w:tblCellMar>
          <w:top w:w="28" w:type="dxa"/>
          <w:left w:w="28" w:type="dxa"/>
          <w:bottom w:w="28" w:type="dxa"/>
          <w:right w:w="28" w:type="dxa"/>
        </w:tblCellMar>
      </w:tblPr>
      <w:tblGrid>
        <w:gridCol w:w="3476"/>
        <w:gridCol w:w="146"/>
        <w:gridCol w:w="303"/>
        <w:gridCol w:w="972"/>
        <w:gridCol w:w="146"/>
        <w:gridCol w:w="146"/>
        <w:gridCol w:w="367"/>
        <w:gridCol w:w="1358"/>
        <w:gridCol w:w="291"/>
      </w:tblGrid>
      <w:tr>
        <w:trPr/>
        <w:tc>
          <w:tcPr>
            <w:tcW w:w="3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175,520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32,746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175,520</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remeasurement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liabilities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19, 2024, the Company entered into a credit agreement (the “2024 Credit Agreement”) among LifeStance Health Holdings, Inc., Lynnwood Intermediate Holdings, Inc., Capital One, National Association, and each lender party thereto. The 2024 Credit Agreement established a senior secured term loan facility of $290,000 and a senior secured revolving loan facility of up to $100,000. The Company borrowed $290,000 in term loans, payable in quarterly principal and interest payments, with a maturity date of December 19, 2029. The loans under the term loan facility bear interest at a rate per annum equal to (x) term SOFR (which term SOFR is subject to a minimum of 0.00%) plus an applicable margin of 3.00% subject to stepdowns based on leverage-based metrics or (y) an alternate base rate (which will be the highest of (i) the prime rate, (ii) 0.50% above the federal funds effective rate and (iii) one-month term SOFR (which term SOFR is subject to a minimum of 0.00%) plus 1.00%) plus an applicable margin of 2.00% subject to stepdowns based on leverage-based metrics. The term loans are collateralized by substantially all of the assets of the Company. The revolving loan has interest only payments until the maturity date of December 19,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2024 Credit Agreement requires the Company to maintain compliance with certain restrictive financial covenants related to earnings, leverage ratios, and other financial metrics. The Company was in compliance with all debt covenants at June 30, 2026 and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Long-term debt consists of the following:</w:t>
      </w:r>
    </w:p>
    <w:tbl>
      <w:tblPr>
        <w:tblW w:w="8130" w:type="dxa"/>
        <w:jc w:val="left"/>
        <w:tblInd w:w="0" w:type="dxa"/>
        <w:tblLayout w:type="fixed"/>
        <w:tblCellMar>
          <w:top w:w="28" w:type="dxa"/>
          <w:left w:w="28" w:type="dxa"/>
          <w:bottom w:w="28" w:type="dxa"/>
          <w:right w:w="28" w:type="dxa"/>
        </w:tblCellMar>
      </w:tblPr>
      <w:tblGrid>
        <w:gridCol w:w="4361"/>
        <w:gridCol w:w="146"/>
        <w:gridCol w:w="271"/>
        <w:gridCol w:w="1004"/>
        <w:gridCol w:w="166"/>
        <w:gridCol w:w="146"/>
        <w:gridCol w:w="367"/>
        <w:gridCol w:w="1358"/>
        <w:gridCol w:w="311"/>
      </w:tblGrid>
      <w:tr>
        <w:trPr/>
        <w:tc>
          <w:tcPr>
            <w:tcW w:w="4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282,750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Less: Unamortized discount and debt issue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Long-Term Debt, Net of Current Portion</w:t>
              <w:br/>
              <w:t>   and Unamortized Discount and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265,927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unamortized debt issue costs related to long-term debt are presented as a reduction of the carrying amount of the corresponding liabilities on the unaudited consolidated balance sheets. Unamortized debt issue costs related to revolving loans are presented within other noncurrent assets on the unaudited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portion of long-term debt is included within other current liabilities on the unaudited consolidated balance sheets.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expense, net consists of the following:</w:t>
      </w:r>
    </w:p>
    <w:tbl>
      <w:tblPr>
        <w:tblW w:w="7406" w:type="dxa"/>
        <w:jc w:val="left"/>
        <w:tblInd w:w="0" w:type="dxa"/>
        <w:tblLayout w:type="fixed"/>
        <w:tblCellMar>
          <w:top w:w="28" w:type="dxa"/>
          <w:left w:w="28" w:type="dxa"/>
          <w:bottom w:w="28" w:type="dxa"/>
          <w:right w:w="28" w:type="dxa"/>
        </w:tblCellMar>
      </w:tblPr>
      <w:tblGrid>
        <w:gridCol w:w="1771"/>
        <w:gridCol w:w="146"/>
        <w:gridCol w:w="298"/>
        <w:gridCol w:w="807"/>
        <w:gridCol w:w="206"/>
        <w:gridCol w:w="206"/>
        <w:gridCol w:w="298"/>
        <w:gridCol w:w="807"/>
        <w:gridCol w:w="146"/>
        <w:gridCol w:w="146"/>
        <w:gridCol w:w="271"/>
        <w:gridCol w:w="734"/>
        <w:gridCol w:w="187"/>
        <w:gridCol w:w="187"/>
        <w:gridCol w:w="271"/>
        <w:gridCol w:w="734"/>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principal payments on long-term debt as of June 30, 2026 are as follows:</w:t>
      </w:r>
    </w:p>
    <w:tbl>
      <w:tblPr>
        <w:tblW w:w="3755" w:type="dxa"/>
        <w:jc w:val="left"/>
        <w:tblInd w:w="0" w:type="dxa"/>
        <w:tblLayout w:type="fixed"/>
        <w:tblCellMar>
          <w:top w:w="28" w:type="dxa"/>
          <w:left w:w="28" w:type="dxa"/>
          <w:bottom w:w="28" w:type="dxa"/>
          <w:right w:w="28" w:type="dxa"/>
        </w:tblCellMar>
      </w:tblPr>
      <w:tblGrid>
        <w:gridCol w:w="2326"/>
        <w:gridCol w:w="146"/>
        <w:gridCol w:w="211"/>
        <w:gridCol w:w="781"/>
        <w:gridCol w:w="2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275,500</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long-term debt is based on the present value of future payments discounted by the market interest rates or the fixed rates based on current rates offered to the Company for debt with similar terms and maturities, which is a Level 2 fair value measurement. Long-term debt is presented at carrying value on the unaudited consolidated balance sheets. The fair value of long-term debt at June 30, 2026 and December 31, 2025 was $272,666 and $277,146,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Revolving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2024 Credit Agreement, the Company has a revolving loan commitment in the amount of $100,000. Any borrowing on the revolving loan under the 2024 Credit Agreement is due in full on December 19, 2029. The revolving loan bears interest at a rate per annum equal to (x) term SOFR (which term SOFR is subject to a minimum of 0.00%) plus an applicable margin of 3.00% subject to stepdowns based on leverage-based metrics or (y) an alternate base rate (which will be the highest of (i) the prime rate, (ii) 0.50% above the federal funds effective rate and (iii) one-month term SOFR (which term SOFR is subject to a minimum of 0.00%) plus 1.00%) plus an applicable margin of 2.00% subject to stepdowns based on leverage-based metrics. The unused revolving loan incurs a quarterly undrawn commitment fee of 0.45% per annum subject to stepdowns based on leverage-based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no amounts outstanding on the revolving loan as of June 30,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STOCK-BASED COMPENSATION AND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2021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9, 2021, the Company’s Board of Directors (the "Board") and its stockholders as of that date adopted and approved the LifeStance Health Group, Inc. 2021 Equity Incentive Plan (the “2021 Equity Incentive Plan”). The 2021 Equity Incentive Plan permits the grant of awards or restricted or unrestricted common stock, stock options, stock appreciation rights, restricted stock units, performance awards, and other stock-based awards to employees and directors of, and consultants and advisors to, the Company and its affiliates. On January 1, 2026, the number of shares of common stock reserved and available for issuance under the 2021 Equity Incentive Plan increased by 19,416 shares.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Awards ("RSA")</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summary of RSA transactions as of and for the six months ended June 30, 2026:</w:t>
      </w:r>
    </w:p>
    <w:tbl>
      <w:tblPr>
        <w:tblW w:w="6795" w:type="dxa"/>
        <w:jc w:val="left"/>
        <w:tblInd w:w="0" w:type="dxa"/>
        <w:tblLayout w:type="fixed"/>
        <w:tblCellMar>
          <w:top w:w="28" w:type="dxa"/>
          <w:left w:w="28" w:type="dxa"/>
          <w:bottom w:w="28" w:type="dxa"/>
          <w:right w:w="28" w:type="dxa"/>
        </w:tblCellMar>
      </w:tblPr>
      <w:tblGrid>
        <w:gridCol w:w="2551"/>
        <w:gridCol w:w="146"/>
        <w:gridCol w:w="301"/>
        <w:gridCol w:w="1184"/>
        <w:gridCol w:w="166"/>
        <w:gridCol w:w="146"/>
        <w:gridCol w:w="541"/>
        <w:gridCol w:w="1469"/>
        <w:gridCol w:w="2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Unvested,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Restricted Stock Units ("RSU")</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summary of RSU transactions as of and for the six months ended June 30, 2026:</w:t>
      </w:r>
    </w:p>
    <w:tbl>
      <w:tblPr>
        <w:tblW w:w="7035" w:type="dxa"/>
        <w:jc w:val="left"/>
        <w:tblInd w:w="0" w:type="dxa"/>
        <w:tblLayout w:type="fixed"/>
        <w:tblCellMar>
          <w:top w:w="28" w:type="dxa"/>
          <w:left w:w="28" w:type="dxa"/>
          <w:bottom w:w="28" w:type="dxa"/>
          <w:right w:w="28" w:type="dxa"/>
        </w:tblCellMar>
      </w:tblPr>
      <w:tblGrid>
        <w:gridCol w:w="2791"/>
        <w:gridCol w:w="146"/>
        <w:gridCol w:w="262"/>
        <w:gridCol w:w="1223"/>
        <w:gridCol w:w="166"/>
        <w:gridCol w:w="146"/>
        <w:gridCol w:w="626"/>
        <w:gridCol w:w="1384"/>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summary of stock option activity as of and for the six months ended June 30, 2026:</w:t>
      </w:r>
    </w:p>
    <w:tbl>
      <w:tblPr>
        <w:tblW w:w="10205" w:type="dxa"/>
        <w:jc w:val="left"/>
        <w:tblInd w:w="0" w:type="dxa"/>
        <w:tblLayout w:type="fixed"/>
        <w:tblCellMar>
          <w:top w:w="28" w:type="dxa"/>
          <w:left w:w="28" w:type="dxa"/>
          <w:bottom w:w="28" w:type="dxa"/>
          <w:right w:w="28" w:type="dxa"/>
        </w:tblCellMar>
      </w:tblPr>
      <w:tblGrid>
        <w:gridCol w:w="2226"/>
        <w:gridCol w:w="146"/>
        <w:gridCol w:w="205"/>
        <w:gridCol w:w="954"/>
        <w:gridCol w:w="166"/>
        <w:gridCol w:w="146"/>
        <w:gridCol w:w="528"/>
        <w:gridCol w:w="1168"/>
        <w:gridCol w:w="146"/>
        <w:gridCol w:w="146"/>
        <w:gridCol w:w="547"/>
        <w:gridCol w:w="1753"/>
        <w:gridCol w:w="146"/>
        <w:gridCol w:w="146"/>
        <w:gridCol w:w="352"/>
        <w:gridCol w:w="1135"/>
        <w:gridCol w:w="295"/>
      </w:tblGrid>
      <w:tr>
        <w:trPr/>
        <w:tc>
          <w:tcPr>
            <w:tcW w:w="2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Remaining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and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35,629</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 or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35,629</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recognized stock-based compensation expense related to RSUs and stock options within general and administrative expenses in the unaudited consolidated statements of operations and comprehensive income (loss) as follows:</w:t>
      </w:r>
    </w:p>
    <w:tbl>
      <w:tblPr>
        <w:tblW w:w="8636" w:type="dxa"/>
        <w:jc w:val="left"/>
        <w:tblInd w:w="0" w:type="dxa"/>
        <w:tblLayout w:type="fixed"/>
        <w:tblCellMar>
          <w:top w:w="28" w:type="dxa"/>
          <w:left w:w="28" w:type="dxa"/>
          <w:bottom w:w="28" w:type="dxa"/>
          <w:right w:w="28" w:type="dxa"/>
        </w:tblCellMar>
      </w:tblPr>
      <w:tblGrid>
        <w:gridCol w:w="3001"/>
        <w:gridCol w:w="146"/>
        <w:gridCol w:w="268"/>
        <w:gridCol w:w="859"/>
        <w:gridCol w:w="185"/>
        <w:gridCol w:w="185"/>
        <w:gridCol w:w="268"/>
        <w:gridCol w:w="859"/>
        <w:gridCol w:w="146"/>
        <w:gridCol w:w="146"/>
        <w:gridCol w:w="243"/>
        <w:gridCol w:w="780"/>
        <w:gridCol w:w="168"/>
        <w:gridCol w:w="168"/>
        <w:gridCol w:w="243"/>
        <w:gridCol w:w="780"/>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$108,484 in unrecognized compensation expense related to all non-vested RSUs and stock options that will be recognized over the weighted-average remaining service period of 2.2 years.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2021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June 9, 2021, the Board and its stockholders as of that date adopted and approved the LifeStance Health Group, Inc. 2021 Employee Stock Purchase Plan (the “ESPP”). The ESPP is more fully described in Note 10 in the consolidated financial statements included in the Company's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no shares of common stock have been purchased under the Company’s ESPP.</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Share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24, 2026, the Company’s Board of Directors approved a share repurchase program (“Repurchase Program”), which authorizes the Company to repurchase up to $100,000 of the Company’s outstanding shares of common stock. The Repurchase Program does not obligate the Company to repurchase any particular amount of common stock. Stock repurchases under this program may be made at such times, prices, amounts and on such terms as the Company may determine from time to time to be advisable based on a variety of factors such as the market price of the Company’s common stock, the Company’s corporate requirements, other investment opportunities, and the overall market condition, with such repurchases effectuated in the open market or through privately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negotiated transactions (including accelerated share repurchase programs), block purchases, or exchange or non-exchange transactions, and using such broker-dealer or broker-dealers as the Company may determine. The Board of Directors may suspend, modify or terminate the Repurchase Program at any time without prior notice. The Company repurchased 6,000 and 13,000 shares of its common stock for $48,518 and $97,625 during the three and six months ended June 30, 2026,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provision (benefit) for income taxes is as follows:</w:t>
      </w:r>
    </w:p>
    <w:tbl>
      <w:tblPr>
        <w:tblW w:w="8691" w:type="dxa"/>
        <w:jc w:val="left"/>
        <w:tblInd w:w="0" w:type="dxa"/>
        <w:tblLayout w:type="fixed"/>
        <w:tblCellMar>
          <w:top w:w="28" w:type="dxa"/>
          <w:left w:w="28" w:type="dxa"/>
          <w:bottom w:w="28" w:type="dxa"/>
          <w:right w:w="28" w:type="dxa"/>
        </w:tblCellMar>
      </w:tblPr>
      <w:tblGrid>
        <w:gridCol w:w="3016"/>
        <w:gridCol w:w="146"/>
        <w:gridCol w:w="289"/>
        <w:gridCol w:w="782"/>
        <w:gridCol w:w="200"/>
        <w:gridCol w:w="200"/>
        <w:gridCol w:w="289"/>
        <w:gridCol w:w="864"/>
        <w:gridCol w:w="166"/>
        <w:gridCol w:w="146"/>
        <w:gridCol w:w="262"/>
        <w:gridCol w:w="711"/>
        <w:gridCol w:w="181"/>
        <w:gridCol w:w="181"/>
        <w:gridCol w:w="262"/>
        <w:gridCol w:w="785"/>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effective tax rates are as follows:</w:t>
      </w:r>
    </w:p>
    <w:tbl>
      <w:tblPr>
        <w:tblW w:w="7386" w:type="dxa"/>
        <w:jc w:val="left"/>
        <w:tblInd w:w="0" w:type="dxa"/>
        <w:tblLayout w:type="fixed"/>
        <w:tblCellMar>
          <w:top w:w="28" w:type="dxa"/>
          <w:left w:w="28" w:type="dxa"/>
          <w:bottom w:w="28" w:type="dxa"/>
          <w:right w:w="28" w:type="dxa"/>
        </w:tblCellMar>
      </w:tblPr>
      <w:tblGrid>
        <w:gridCol w:w="1501"/>
        <w:gridCol w:w="146"/>
        <w:gridCol w:w="233"/>
        <w:gridCol w:w="745"/>
        <w:gridCol w:w="433"/>
        <w:gridCol w:w="233"/>
        <w:gridCol w:w="233"/>
        <w:gridCol w:w="745"/>
        <w:gridCol w:w="271"/>
        <w:gridCol w:w="146"/>
        <w:gridCol w:w="212"/>
        <w:gridCol w:w="677"/>
        <w:gridCol w:w="394"/>
        <w:gridCol w:w="212"/>
        <w:gridCol w:w="212"/>
        <w:gridCol w:w="677"/>
        <w:gridCol w:w="316"/>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difference between the Company’s effective tax rate and the U.S. statutory tax rate of 21% was primarily the result of non-deductible equity awards. The Company regularly evaluates the realizability of its deferred tax assets and establishes a valuation allowance if it is more likely than not that some or all the deferred tax assets will not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Healthcare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healthcare industry is subject to numerous laws and regulations of federal, state, and local governments. These laws and regulations include, but are not necessarily limited to, matters such as licensure, accreditation, and government healthcare program participation requirements, reimbursement for patient services, and Medicare fraud and abuse. Recently, government activity has increased with respect to investigations and allegations concerning possible violations of fraud and abuse statutes and regulations by healthcare providers. Violation of these laws and regulations could result in expulsion from government healthcare programs together with imposition of significant fines and penalties, as well as significant repayments for patient services billed.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and regulations concerning government programs, including Medicare and Medicaid, are complex and subject to varying interpretation. As a result of investigations by governmental agencies, various healthcare companies have received requests for information and notices regarding alleged noncompliance with those laws and regulations, which, in some instances, have resulted in companies entering into significant settlement agreements. Compliance with such laws and regulations may also be subject to future government review and interpretation as well as significant regulatory action, including fines, penalties, and potential exclusion from the related programs. There can be no assurance that regulatory authorities will not challenge the Company’s compliance with these laws and regulations, and it is not possible to determine the impact (if any) such claims or penalties would have upon the Company. In addition, the contracts the Company has with commercial payors also provide for retroactive audit and review of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believes that the Company is in substantial compliance with fraud and abuse as well as other applicable government laws and regulations. While no regulatory inquiries have been made, compliance with such laws and regulations is subject to government review and interpretation, as well as regulatory actions unknown or unasserted at this time.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various risks of loss related to torts; theft of, damage to and destruction of assets; errors and omissions, injuries to employees, and natural disasters. These risks are covered by commercial insurance purchased from independent third parties. There has been no significant reduction in insurance coverage from the previous year in any of the Company’s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be involved from time-to-time in legal actions relating to the ownership and operations of its business. Liabilities related to loss contingencies are recognized when the Company believes it is probable a liability has occurred and the amount can be reasonably estimated by management.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EARNINGS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calculation of basic and diluted earnings (loss) per share for the Company’s common shares:</w:t>
      </w:r>
    </w:p>
    <w:tbl>
      <w:tblPr>
        <w:tblW w:w="10205" w:type="dxa"/>
        <w:jc w:val="left"/>
        <w:tblInd w:w="0" w:type="dxa"/>
        <w:tblLayout w:type="fixed"/>
        <w:tblCellMar>
          <w:top w:w="28" w:type="dxa"/>
          <w:left w:w="28" w:type="dxa"/>
          <w:bottom w:w="28" w:type="dxa"/>
          <w:right w:w="28" w:type="dxa"/>
        </w:tblCellMar>
      </w:tblPr>
      <w:tblGrid>
        <w:gridCol w:w="4368"/>
        <w:gridCol w:w="146"/>
        <w:gridCol w:w="241"/>
        <w:gridCol w:w="895"/>
        <w:gridCol w:w="166"/>
        <w:gridCol w:w="166"/>
        <w:gridCol w:w="241"/>
        <w:gridCol w:w="895"/>
        <w:gridCol w:w="166"/>
        <w:gridCol w:w="146"/>
        <w:gridCol w:w="220"/>
        <w:gridCol w:w="816"/>
        <w:gridCol w:w="152"/>
        <w:gridCol w:w="152"/>
        <w:gridCol w:w="220"/>
        <w:gridCol w:w="816"/>
        <w:gridCol w:w="399"/>
      </w:tblGrid>
      <w:tr>
        <w:trPr/>
        <w:tc>
          <w:tcPr>
            <w:tcW w:w="4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385,379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385,015</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Dilutive effect of outstanding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391,181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385,015</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issued potentially dilutive instruments in the form of RSAs, RSUs and stock options. The following potentially dilutive shares are excluded from the computation of diluted earnings (loss) per share for the periods presented because including them would have been anti-dilutive:</w:t>
      </w:r>
    </w:p>
    <w:tbl>
      <w:tblPr>
        <w:tblW w:w="8232" w:type="dxa"/>
        <w:jc w:val="left"/>
        <w:tblInd w:w="0" w:type="dxa"/>
        <w:tblLayout w:type="fixed"/>
        <w:tblCellMar>
          <w:top w:w="28" w:type="dxa"/>
          <w:left w:w="28" w:type="dxa"/>
          <w:bottom w:w="28" w:type="dxa"/>
          <w:right w:w="28" w:type="dxa"/>
        </w:tblCellMar>
      </w:tblPr>
      <w:tblGrid>
        <w:gridCol w:w="2596"/>
        <w:gridCol w:w="146"/>
        <w:gridCol w:w="209"/>
        <w:gridCol w:w="818"/>
        <w:gridCol w:w="209"/>
        <w:gridCol w:w="209"/>
        <w:gridCol w:w="209"/>
        <w:gridCol w:w="969"/>
        <w:gridCol w:w="146"/>
        <w:gridCol w:w="146"/>
        <w:gridCol w:w="190"/>
        <w:gridCol w:w="744"/>
        <w:gridCol w:w="190"/>
        <w:gridCol w:w="190"/>
        <w:gridCol w:w="190"/>
        <w:gridCol w:w="880"/>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RSAs, RSUs and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360" w:after="283"/>
        <w:jc w:val="left"/>
        <w:rPr>
          <w:rFonts w:ascii="Times New Roman" w:hAnsi="Times New Roman"/>
          <w:b/>
          <w:color w:val="000000"/>
          <w:sz w:val="20"/>
        </w:rPr>
      </w:pPr>
      <w:bookmarkStart w:id="9" w:name="i_item2"/>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Quarterly Report on Form 10-Q and our audited financial statements and the accompanying notes as well as "Risk Factors" and "Management's Discussion and Analysis of Financial Condition and Results of Operations" included in our Annual Report on Form 10-K for the year ended December 31,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under “Risk Factors” Part II, Item 1A in this Quarterly Report on Form 10-Q as well as those discussed in the Annual Report on Form 10-K for the year ended December 31, 2025, our actual results could differ materially from the results described in or implied by the forward-looking statements contained in the following discussion and analysis.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Unless stated otherwise or the context otherwise requires, the terms "we," "us," "our," "our business," "LifeStance" and "our Company" and similar references refer to LifeStance Health Group, Inc. and its consolidated subsidiaries and supported practices. References to "our employees" and "our clinicians" refer collectively to employees and clinicians, respectively, of our subsidiaries and supported practices. References to "our patients" refer to the patients treated by such clinicians.</w:t>
      </w:r>
    </w:p>
    <w:p>
      <w:pPr>
        <w:pStyle w:val="TextBody"/>
        <w:bidi w:val="0"/>
        <w:spacing w:before="120" w:after="283"/>
        <w:jc w:val="left"/>
        <w:rPr>
          <w:rFonts w:ascii="Times New Roman" w:hAnsi="Times New Roman"/>
          <w:sz w:val="20"/>
        </w:rPr>
      </w:pPr>
      <w:r>
        <w:rPr>
          <w:rFonts w:ascii="Times New Roman" w:hAnsi="Times New Roman"/>
          <w:b/>
          <w:color w:val="000000"/>
          <w:sz w:val="20"/>
        </w:rPr>
        <w:t>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dedicated to improving the lives of our patients by reimagining mental health through a tech-enabled in-person and virtual care delivery model built to expand access, address affordability, improve outcomes and lower overall healthcare costs. We are one of the nation’s largest outpatient mental health platforms based on the number of clinicians we employ through our subsidiaries and our supported practices and our geographic scale, employing 8,542 licensed mental health clinicians as of June 30, 2026. Our patient-focused platform combines a personalized, digitally-powered patient experience with differentiated clinical capabilities and in-network insurance relationships to fundamentally transform patient access and treatment. By revolutionizing the way mental healthcare is delivered, we believe we have an opportunity to improve the lives and health of millions of individuals.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model is built to empower each of the healthcare ecosystem’s key stakeholders—patients, clinicians, payors and primary care and specialist physicians—by aligning around our shared goal of delivering better outcomes for patients and providing high-quality mental healthcare.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Patients</w:t>
      </w:r>
      <w:r>
        <w:rPr>
          <w:color w:val="000000"/>
        </w:rPr>
        <w:t xml:space="preserve"> </w:t>
      </w:r>
      <w:r>
        <w:rPr>
          <w:rFonts w:ascii="Times New Roman" w:hAnsi="Times New Roman"/>
          <w:color w:val="000000"/>
          <w:sz w:val="20"/>
        </w:rPr>
        <w:t>- We are the front-door to comprehensive outpatient mental healthcare. Our clinicians offer patients a full spectrum of outpatient services to treat mental health conditions. Our in-network payor relationships improve patient access by allowing patients to access care without significant out-of-pocket cost or delays in receiving treatment. Our personalized, data-driven comprehensive care meets patients where they are, through convenient virtual and in-person settings. We support our patients throughout their care continuum with purpose-built technological capabilities, including online assessments, digital provider communication, and seamless internal referral and follow-up capabilities.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Clinicians</w:t>
      </w:r>
      <w:r>
        <w:rPr>
          <w:color w:val="000000"/>
        </w:rPr>
        <w:t xml:space="preserve"> </w:t>
      </w:r>
      <w:r>
        <w:rPr>
          <w:rFonts w:ascii="Times New Roman" w:hAnsi="Times New Roman"/>
          <w:color w:val="000000"/>
          <w:sz w:val="20"/>
        </w:rPr>
        <w:t>- We empower clinicians to focus on patient care and relationships by providing what we believe is a superior workplace environment, as well as clinical and technology capabilities to deliver high-quality care. We offer a unique employment model for clinicians in a collaborative clinical environment, employing our clinicians through our subsidiaries and supported practices.</w:t>
      </w:r>
      <w:r>
        <w:rPr>
          <w:color w:val="000000"/>
        </w:rPr>
        <w:t xml:space="preserve"> </w:t>
      </w:r>
      <w:r>
        <w:rPr>
          <w:rFonts w:ascii="Times New Roman" w:hAnsi="Times New Roman"/>
          <w:color w:val="000000"/>
          <w:sz w:val="20"/>
        </w:rPr>
        <w:t>Our integrated platform and national infrastructure reduce administrative burdens for clinicians while increasing engagement and satisfaction.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Payors</w:t>
      </w:r>
      <w:r>
        <w:rPr>
          <w:color w:val="000000"/>
        </w:rPr>
        <w:t xml:space="preserve"> </w:t>
      </w:r>
      <w:r>
        <w:rPr>
          <w:rFonts w:ascii="Times New Roman" w:hAnsi="Times New Roman"/>
          <w:color w:val="000000"/>
          <w:sz w:val="20"/>
        </w:rPr>
        <w:t>- We partner with payors to deliver access to high-quality outpatient mental healthcare to their members at scale. Through our extensive scale, we offer payors a pathway to reduce overall cost of care in the broader healthcare system while supporting improved physical and mental health outcomes.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Primary care and specialist physicians -</w:t>
      </w:r>
      <w:r>
        <w:rPr>
          <w:color w:val="000000"/>
        </w:rPr>
        <w:t xml:space="preserve"> </w:t>
      </w:r>
      <w:r>
        <w:rPr>
          <w:rFonts w:ascii="Times New Roman" w:hAnsi="Times New Roman"/>
          <w:color w:val="000000"/>
          <w:sz w:val="20"/>
        </w:rPr>
        <w:t>We collaborate with primary care and specialist physicians to enhance patient care. Primary care is an important setting for the treatment of mental health conditions—primary care physicians are often the sole contact of patients with a mental illness and, in many instances where patients have a chronic condition, specialist physicians step into the role of primary physicians. We partner with primary care physicians and specialist physician groups across the country to provide a mental healthcare network for referrals and, in certain instances, through virtual and physical co-location to improve the diagnosis and treatment of their patients.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Regulatory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in the U.S. The OBBBA contains a variety of provisions that could impact the healthcare industry with changes to Medicaid programs, including but not limited to, Medicaid renewal and eligibility rules. Additional federal and state guidance is expected to be issued in order to implement these OBBBA provisions, most of which have effective dates in 2027 and 2028. While we serve Medicaid patients, the OBBBA is not expected to have a material impact on our business and results of operations as a result of the changes to the Medicaid programs.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Factors Affecting Our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Expanding Center Capacity and Visits Within Existing Centers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built a powerful organic growth engine that enables us to drive growth within our existing footprint.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Clinicians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employed 8,542 psychiatrists, advanced practice nurses, psychologists and therapists through our subsidiaries and supported practices. We generate revenue on a per visit basis (total revenue per visit ("TRPV")) as clinical services are rendered by our clinicians. We generate lower revenue and experience lower clinician productivity in periods that have fewer business days than other periods. We measure productivity by the number of visits that are performed by a clinician, which is driven by the time clinicians make available to see patients and our ability to fill clinicians' schedules by attracting new patients, scheduling patients, and converting scheduled appointments to completed visits. Clinician productivity impacts our ability to generate revenue and also impacts clinician compensation, as clinician compensation is primarily driven by the number of visits provided by each clinician. Recruiting new clinicians and retaining existing clinicians enables us to see more patients by expanding our patient visit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dedicated employment model offers a superior value proposition compared to independent practice. Our network relationships provide clinicians with ready access to patients. We also enable clinicians to manage their own patient volumes. Our platform promotes a clinically-driven professional culture and streamlines patient access and care delivery, while optimizing practice administration processes through technology. We believe we are an employer of choice in mental health, allowing us to employ highly qualified clinicians.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significant opportunity to grow our employed clinician base from our current base of 8,542 clinicians employed through our subsidiaries and supported practices, as of June 30, 2026. We have developed a rigorous and exclusive in-house national clinician recruiting model that works closely with our regional clinical teams to select the best candidates and expand capacity in a timely manner. As we grow our clinician base, we can grow our business, expand access for our patients and our payors and invest in our platform to further reinforce our differentiated offering to clinicians. We have available physical capacity to add clinicians to our existing centers, as well as an opportunity to add new clinicians with the targeted roll-out of new centers. Our virtual care offering also allows clinicians to see more patients without investments in incremental physical space, expanding our patient visit capacity beyond in-person only levels.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ability to attract and retain patients to drive growth in our visits and meet the availability of our clinician base will enable us to grow our revenue. We believe we have a significant opportunity to increase the number of patients we serve in our existing markets. Our clinicians treated patients through 2.6 million and 5.1 million visits in the three and six months ended June 30, 2026, respectively. We believe our ability to deliver more accessible, flexible, affordable and effective mental healthcare is a key driver of our patient growth. We believe we provide a superior and differentiated mental healthcare experience that integrates virtual and in-person care to deliver care in a convenient way for our patients, meeting our patients where they are. Our in-network payor relationships allow our patients to access affordable care without significant out-of-pocket cost or delays in receiving treatment. We treat mental health conditions across the outpatient spectrum through a clinical approach that focuses on improved patient outcomes. We support our patients throughout their care continuum with purpose-built technological capabilities, including online assessments, digital provider communication, and seamless internal referral and follow-up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utilize multiple strategies to add new patients to our platform, including our primary care and specialist physician relationships, internal referrals from our clinicians, our payor relationships and our dedicated marketing efforts. We have established a large network of national, regional and local payors that enables their members to be referred to us as patients. Payors refer patients to our platform to drive improvement in health outcomes for their members, reduction in total medical costs and increased member satisfaction and retention. Within our markets, we partner with primary care practice groups, specialists, health systems and academic institutions to refer patients to our centers and clinicians. Our local referral marketing teams build and maintain relationships with our referring partner networks to create awareness of our platform and services, including the opening of new centers and the introduction of newly hired clinicians with appointment availability. We also use online marketing to develop our national brand to increase brand awareness and promote additional channels of patient recruitment.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Primary Care and Specialist Physician Referral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powerful patient referral network through partnerships with primary care physicians and specialist physician groups across the country. We deliver value to our provider partners by offering more efficient referral pathways, delivering improved outcomes for our shared patients, and enabling more integrated care and lower total healthcare costs. As we continue to scale nationally, we plan to partner with additional hospital systems, large primary care groups and other specialist groups to help streamline their mental health network needs and drive continued patient growth across our platform. Our vision over time is to further integrate our mental healthcare services with those of our medical provider partners. By co-locating and driving toward integration with primary care and specialty providers, we can enhance our clinicians' access to patients. We anticipate that we will continue to grow these relationships while evolving our offering toward a fully-integrated care model in which primary care and our mental health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work together to develop and provide personalized treatment plans for shared patients. We believe these efforts will help to further align our model with that of other healthcare providers, increasing our value to them and driving new opportunities to partner to grow our patient base and revenue opportunities.</w:t>
      </w:r>
    </w:p>
    <w:p>
      <w:pPr>
        <w:pStyle w:val="TextBody"/>
        <w:bidi w:val="0"/>
        <w:spacing w:before="120" w:after="283"/>
        <w:jc w:val="left"/>
        <w:rPr>
          <w:rFonts w:ascii="Times New Roman" w:hAnsi="Times New Roman"/>
          <w:sz w:val="20"/>
        </w:rPr>
      </w:pPr>
      <w:r>
        <w:rPr>
          <w:rFonts w:ascii="Times New Roman" w:hAnsi="Times New Roman"/>
          <w:i/>
          <w:color w:val="000000"/>
          <w:sz w:val="20"/>
        </w:rPr>
        <w:t>Our Payors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payor relationships, including national contracts with multiple payors, allow access to our services through in-network coverage for their members. We believe the alignment of our model with our payor partners’ population health objectives encourages third-party payors to partner with us. We believe we deliver value to our payor partners in several ways, including access to a national clinician employee base, lower total medical costs, and stronger member and client value proposition through the offering of in-network mental health services. The strength of our payor relationships and our value proposition has historically allowed us to secure rate parity between in-person and virtual visits, either by contract or payor policy. To expand this network and grow access to covered patients, we continue to evaluate new payor relationships and national contracts where we believe the payor's policies and approach to mental healthcare align with our mission, while also seeking to drive regional rate improvement, including terminating certain of our lower-volume payor contracts to support continued investment in our differentiated model for delivering mental healthcare. We believe our payor relationships differentiate us from our competitors and are a critical factor in our ability to expand our market footprint in new regions by leveraging our existing national payor relationships. As we continue to grow, we believe our scale, breadth and access will continue to be enhanced, further strengthening the value of our platform to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ongoing business operations, we renegotiate our existing payor contracts and enter into new payor contracts. Our results of operations can fluctuate based on the reimbursement rates resulting from these payor contract negotiations and renegotiations. To the extent that payors, particularly payors comprising a significant portion of our revenue, negotiate lower reimbursement rates or elect not to cover some or all of our services, our business and results of operations could be adversely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Expand and Optimize our Center Base Within Existing and New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we have built a powerful market growth engine that allows us to rapidly grow our presence within our markets and unlock potential latent demand through our differentiated scale, access and affordability.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Centers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new center strategy is a central component of our organic growth engine to build our capacity and increase density in our existing metropolitan statistical areas. We believe there is a significant opportunity to use new center openings to address potential patient need in our existing markets and new markets that we have determined are attractive to enter. We systematically locate our centers within a given market to ensure convenient coverage for in-person access to care. We believe our successful new center program and national clinician recruiting team can support additions of new centers and clinicians.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utilize a more sustainable design for all new centers that reimagines the mental healthcare experience for both patients and clinicians while reinforcing our commitment to sustainability.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highly fragmented nature of the mental health market provides us with a meaningful opportunity to selectively pursue acquisitions that meet our standards of high-quality clinical care and align with our mission. We believe our guiding principle of creating a national platform built with a patient and clinician focus makes us a partner of choice for smaller, independent practices. Our acquisition strategy has been deployed both to enter new markets and to expand within existing markets. In new markets, acquisitions allow us to establish a presence with high-quality practices with a track record of clinical excellence and in-network payor relationships that can be integrated into our national platform. In existing markets, acquisitions allow us to grow our geographic reach and clinician base to expand patient access.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Center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grow our platform, we seek to generate consistent returns on our investments. See “—Key Metrics and Non-GAAP Financial Measures—Center Margin” for our definition of Center Margin and reconciliation to income (loss) from operations. We believe this metric best reflects the economics of our model as it includes all direct expenses associated with our patients’ care. We seek to grow our Center Margin through a combination of (i) growing revenue through clinician hiring and retention, patient growth and engagement, hybrid virtual and in-person care, existing office expansion, and in-network reimbursement levels, and (ii) leveraging on our fixed cost base at each center. For acquired centers, we also seek to realize operational, technology and reimbursement synergies to drive Center Margin growth.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Metrics and Non-GAAP Financial Measures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evaluate the growth of our footprint through a variety of metrics and indicators. The following table sets forth a summary of the key financial metrics we review to evaluate our business, measure our performance, identify trends affecting our business, formulate our business plan and make strategic decisions:</w:t>
      </w:r>
    </w:p>
    <w:tbl>
      <w:tblPr>
        <w:tblW w:w="8424" w:type="dxa"/>
        <w:jc w:val="left"/>
        <w:tblInd w:w="0" w:type="dxa"/>
        <w:tblLayout w:type="fixed"/>
        <w:tblCellMar>
          <w:top w:w="28" w:type="dxa"/>
          <w:left w:w="28" w:type="dxa"/>
          <w:bottom w:w="28" w:type="dxa"/>
          <w:right w:w="28" w:type="dxa"/>
        </w:tblCellMar>
      </w:tblPr>
      <w:tblGrid>
        <w:gridCol w:w="2521"/>
        <w:gridCol w:w="146"/>
        <w:gridCol w:w="230"/>
        <w:gridCol w:w="854"/>
        <w:gridCol w:w="296"/>
        <w:gridCol w:w="159"/>
        <w:gridCol w:w="230"/>
        <w:gridCol w:w="854"/>
        <w:gridCol w:w="271"/>
        <w:gridCol w:w="146"/>
        <w:gridCol w:w="211"/>
        <w:gridCol w:w="781"/>
        <w:gridCol w:w="271"/>
        <w:gridCol w:w="146"/>
        <w:gridCol w:w="211"/>
        <w:gridCol w:w="781"/>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435,354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Center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153,041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Center Margin and Adjusted EBITDA are not measures of financial performance under generally accepted accounting principles ("GAAP") and are not intended to be substitutes for any GAAP financial measures, including revenue, income (loss) from operations or net income (loss), and, as calculated, may not be comparable to companies in other industries or within the same industry with similarly titled measures of performance. Therefore, non-GAAP measures should be considered in addition to, not as a substitute for, or in isolation from, measures prepared in accordance with GAAP.</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Center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Center Margin as income (loss) from operations excluding depreciation and amortization and general and administrative expenses. Therefore, Center Margin is computed by removing from income (loss) from operations the costs that do not directly relate to the delivery of care and only including center costs, excluding depreciation and amortization. We consider Center Margin to be an important measure to monitor our performance relative to the direct costs of delivering care. We believe Center Margin is useful to investors to measure whether we are sufficiently controlling the direct costs of delivering 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Center Margin is not a financial measure of, nor does it imply, profitability. The relationship of income (loss) from operations to center costs, excluding depreciation and amortization is not necessarily indicative of future profitability from operations. Center Margin excludes certain expenses, such as general and administrative expenses, and depreciation and amortization, which are considered normal, recurring operating expenses and are essential to support the operation and development of our centers. Therefore, this measure may not provide a complete understanding of the operating results of our Company as a whole, and Center Margin should be reviewed in conjunction with our GAAP financial results. Other companies that present Center Margin may calculate it differently and, therefore, similarly titled measures presented by other companies may not be directly comparable to ours. In addition, Center Margin has limitations as an analytical tool, including that it does not reflect depreciation and amortization or other overhead allocations.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provides a reconciliation of income (loss) from operations, the most closely comparable GAAP financial measure, to Center Margin:</w:t>
      </w:r>
    </w:p>
    <w:tbl>
      <w:tblPr>
        <w:tblW w:w="9358" w:type="dxa"/>
        <w:jc w:val="left"/>
        <w:tblInd w:w="0" w:type="dxa"/>
        <w:tblLayout w:type="fixed"/>
        <w:tblCellMar>
          <w:top w:w="28" w:type="dxa"/>
          <w:left w:w="28" w:type="dxa"/>
          <w:bottom w:w="28" w:type="dxa"/>
          <w:right w:w="28" w:type="dxa"/>
        </w:tblCellMar>
      </w:tblPr>
      <w:tblGrid>
        <w:gridCol w:w="3501"/>
        <w:gridCol w:w="146"/>
        <w:gridCol w:w="243"/>
        <w:gridCol w:w="901"/>
        <w:gridCol w:w="168"/>
        <w:gridCol w:w="168"/>
        <w:gridCol w:w="243"/>
        <w:gridCol w:w="901"/>
        <w:gridCol w:w="166"/>
        <w:gridCol w:w="146"/>
        <w:gridCol w:w="221"/>
        <w:gridCol w:w="818"/>
        <w:gridCol w:w="153"/>
        <w:gridCol w:w="153"/>
        <w:gridCol w:w="221"/>
        <w:gridCol w:w="818"/>
        <w:gridCol w:w="391"/>
      </w:tblGrid>
      <w:tr>
        <w:trPr/>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General and administrative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108,139</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208,469</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Center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153,041</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288,973</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salaries, wages and employee benefits for our executive leadership, finance, human resources, marketing, billing and credentialing support and technology infrastructure and stock-based compensation for all employees.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Adjusted EBITDA, a non-GAAP performance measure, to supplement our results of operations presented in accordance with generally accepted accounting principles, or GAAP. We believe Adjusted EBITDA is useful in evaluating our operating performance, and may be helpful to securities analysts, institutional investors and other interested parties in understanding our operating performance and prospects. Adjusted EBITDA is not intended to be a substitute for any GAAP financial measure and, as calculated, may not be comparable to companies in other industries or within the same industry with similarly titled measures of performance. Therefore, our Adjusted EBITDA should be considered in addition to, not as a substitute for, or in isolation from, measures prepared in accordance with GAAP, such as net income or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define Adjusted EBITDA as net income (loss) excluding interest expense, depreciation and amortization, income tax provision (benefit), loss on remeasurement of contingent consideration, stock-based compensation, loss on disposal of assets, transaction costs, executive transition costs, litigation costs, strategic initiatives, real estate optimization and restructuring charges, and amortization of cloud-based software implementation costs. We include Adjusted EBITDA in this Quarterly Report because it is an important measure upon which our management assesses, and believes investors should assess, our operating performance. We consider Adjusted EBITDA to be an important measure because it helps illustrate underlying trends in our business and our historical operating performance on a more consistent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Adjusted EBITDA has limitations as an analytical tool,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used for capital expenditures for such replacements or for new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include the dilution that results from equity-based compensation or any cash outflows included in equity-based compensation, including from our repurchases of shares of outstanding common stock;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on our debt or the cash requirements necessary to service interest or principal payments.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reconciliation of net income (loss) to Adjusted EBITDA is presented below for the three and six months ended June 30, 2026 and 2025. We encourage investors and others to review our financial information in its entirety, not to rely on any single financial measure and to view Adjusted EBITDA in conjunction with net income (loss).</w:t>
      </w:r>
    </w:p>
    <w:tbl>
      <w:tblPr>
        <w:tblW w:w="9598" w:type="dxa"/>
        <w:jc w:val="left"/>
        <w:tblInd w:w="0" w:type="dxa"/>
        <w:tblLayout w:type="fixed"/>
        <w:tblCellMar>
          <w:top w:w="28" w:type="dxa"/>
          <w:left w:w="28" w:type="dxa"/>
          <w:bottom w:w="28" w:type="dxa"/>
          <w:right w:w="28" w:type="dxa"/>
        </w:tblCellMar>
      </w:tblPr>
      <w:tblGrid>
        <w:gridCol w:w="3726"/>
        <w:gridCol w:w="146"/>
        <w:gridCol w:w="265"/>
        <w:gridCol w:w="850"/>
        <w:gridCol w:w="208"/>
        <w:gridCol w:w="183"/>
        <w:gridCol w:w="265"/>
        <w:gridCol w:w="850"/>
        <w:gridCol w:w="166"/>
        <w:gridCol w:w="146"/>
        <w:gridCol w:w="229"/>
        <w:gridCol w:w="850"/>
        <w:gridCol w:w="180"/>
        <w:gridCol w:w="158"/>
        <w:gridCol w:w="229"/>
        <w:gridCol w:w="736"/>
        <w:gridCol w:w="411"/>
      </w:tblGrid>
      <w:tr>
        <w:trPr/>
        <w:tc>
          <w:tcPr>
            <w:tcW w:w="3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remeasurement of contingent</w:t>
              <w:br/>
              <w: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Transaction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transition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Litigation costs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Strategic initiatives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Real estate optimization and restructuring</w:t>
              <w:br/>
              <w:t xml:space="preserve">  charges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Amortization of cloud-based software</w:t>
              <w:br/>
              <w:t xml:space="preserve">  implementation costs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66,042</w:t>
            </w:r>
          </w:p>
        </w:tc>
        <w:tc>
          <w:tcPr>
            <w:tcW w:w="20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34,005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117,152</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68,651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Primarily includes capital markets advisory, consulting, accounting and legal expenses related to the underwritten public offerings of shares of our common stock by certain selling stockholders completed in the first and second quarters of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Litigation costs, net of insurance recoveries, include only those costs which are considered non-recurring and outside of the ordinary course of business based on the following considerations, which we assess regularly: (i) the frequency of similar cases that have been brought to date, or are expected to be brought within two years, (ii) the complexity of the case (e.g., complex class action litigation), (iii) the nature of the remedy(ies) sought, including the size of any monetary damages sought, (iv) the counterparty involved, and (v) our overall litigation strategy. During each of the three and six months ended June 30, 2026 and 2025, litigation costs included cash expenses related to certain litigation matters, including a privacy class action litigation, and for the three and six months ended June 30, 2025, a compensation model class action litigation.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Strategic initiatives consist of expenses directly related to evaluating and implementing a critical enterprise-wide scalable electronic health resources system in connection with our significant expansion. Strategic initiatives represents costs, such as third-party consulting costs and one-time costs, that are not part of our ongoing operations related to this enterprise-wide system. We considered the frequency and scale of this enterprise upgrade when determining that the expenses were not normal, recurring operating expenses.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Real estate optimization and restructuring charges consist of cash expenses and non-cash charges related to our real estate optimization initiative, which included certain asset impairment and disposal costs, certain gains and losses related to early lease terminations, and exit and disposal costs related to our real estate optimization initiative to consolidate our physical footprint during 2023. As the decision to close these centers was part of a significant strategic project driven by a historic shift in behavior, the magnitude of center closures was greater than what would be expected as part of ordinary business operations and did not constitute normal recurring operating activities. During the three and six months ended June 30, 2026 and 2025, real estate optimization and restructuring charges consisted of certain gains and losses related to early lease terminations of previously abandoned real estate leases in 2023.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Represents amortization of capitalized implementation costs related to cloud-based software arrangements that are included within general and administrative expenses included in our unaudited consolidated statements of operations and comprehensive income (loss).</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a summary of our financial results for the three and six months ended June 30, 2026 and 2025:</w:t>
      </w:r>
    </w:p>
    <w:tbl>
      <w:tblPr>
        <w:tblW w:w="9656" w:type="dxa"/>
        <w:jc w:val="left"/>
        <w:tblInd w:w="0" w:type="dxa"/>
        <w:tblLayout w:type="fixed"/>
        <w:tblCellMar>
          <w:top w:w="28" w:type="dxa"/>
          <w:left w:w="28" w:type="dxa"/>
          <w:bottom w:w="28" w:type="dxa"/>
          <w:right w:w="28" w:type="dxa"/>
        </w:tblCellMar>
      </w:tblPr>
      <w:tblGrid>
        <w:gridCol w:w="3781"/>
        <w:gridCol w:w="146"/>
        <w:gridCol w:w="241"/>
        <w:gridCol w:w="893"/>
        <w:gridCol w:w="189"/>
        <w:gridCol w:w="166"/>
        <w:gridCol w:w="241"/>
        <w:gridCol w:w="893"/>
        <w:gridCol w:w="166"/>
        <w:gridCol w:w="146"/>
        <w:gridCol w:w="219"/>
        <w:gridCol w:w="811"/>
        <w:gridCol w:w="172"/>
        <w:gridCol w:w="151"/>
        <w:gridCol w:w="219"/>
        <w:gridCol w:w="811"/>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435,354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838,830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Center costs, excluding depreciation and</w:t>
              <w:br/>
              <w:t>  amortization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549,857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404,701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785,893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52,937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remeasurement of contingent</w:t>
              <w:br/>
              <w: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47,217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37,855</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Total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increased $90.1 million, or 26%, to $435.4 million for the three months ended June 30, 2026 from $345.3 million for the three months ended June 30, 2025. This was primarily due to an increase of $90.2 million of patient service revenue slightly offset by a decrease of $0.1 million of nonpatient revenue. The increase in patient service revenue was mainly due to a net increase of 834 in total clinicians, including from organic hiring and acquisitions, an increase in clinician productivity and the inclusion of acquisitions during the period, resulting in an increase in patient visits of 0.4 million, or 19%. Additionally, TRPV increased year-over-year primarily driven by modest payor rate increases.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increased $160.5 million, or 24%, to $838.8 million for the six months ended June 30, 2026 from $678.3 million for the six months ended June 30, 2025. This was primarily due to an increase of $160.8 million of patient service revenue and slightly offset by a decrease of $0.3 million of nonpatient revenue. The increase in patient service revenue was mainly due to a net increase of 834 in total clinicians from organic hiring and acquisitions, an increase in clinician productivity and the inclusion of acquisitions during the period, resulting in an increase in patient visits of 0.8 million, or 18%. Additionally, TRPV increased year-over-year primarily driven by modest payor rate increases.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revenue growth to continue to be driven by our in-house clinician recruiting, acquisition and new center strategies as well as our ability to increase patient visits at existing centers through our ability to accommodate virtual sessions in addition to our in-person visits.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Center costs, excluding 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Center costs, excluding depreciation and amortization increased $45.4 million, or 19%, to $282.3 million for the three months ended June 30, 2026 from $236.9 million for the three months ended June 30, 2025. This was primarily due to a $41.2 million increase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center-based compensation due to the increase in patient visits of 0.4 million from the increase in the total number of clinicians from organic hiring and acquisitions. In addition, occupancy costs consisting of center rent and utilities and other center operating expenses consisting of office supplies and insurance contributed to the increase of $4.2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Center costs, excluding depreciation and amortization increased $89.8 million, or 20%, to $549.9 million for the six months ended June 30, 2026 from $460.1 million for the six months ended June 30, 2025. This was primarily due to a $82.2 million increase in center-based compensation due to the increase in patient visits of 0.8 million from the increase in the total number of clinicians from organic hiring and acquisitions. In addition, occupancy costs consisting of center rent and utilities and other center operating expenses consisting of office supplies and insurance contributed to the increase of $7.6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center costs, excluding depreciation and amortization to continue to increase in the short- to medium-term as we strategically invest to expand our business through our in-house clinician recruiting, acquisition and new center strategies and to potentially capture more of our market opportunity.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$10.7 million, or 11%, to $108.1 million for the three months ended June 30, 2026 from $97.4 million for the three months ended June 30, 2025. This was primarily due to increases in salaries, wages and employee benefits of $6.3 million, other operating expenses of $2.8 million as a result of primarily marketing and professional fees, occupancy costs of $2.1 million and third-party consulting costs and one-time costs associated with our strategic initiatives related to the electronic health resources system implementation of $0.9 million. This increase was slightly offset by a decrease in stock-based compensation expense of $1.4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$16.7 million, or 9%, to $208.5 million for the six months ended June 30, 2026 from $191.8 million for the six months ended June 30, 2025. This was primarily due to increases in salaries, wages and employee benefits of $11.4 million, other operating expenses of $5.8 million as a result of primarily marketing and professional fees, occupancy costs of $3.3 million and third-party consulting costs and one-time costs associated with our strategic initiatives related to the electronic health resources system implementation of $1.0 million. The increase was slightly offset by a decrease in stock-based compensation expense of $4.8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general and administrative expenses to increase in the foreseeable future due to our planned investments to support company growth.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increased $0.2 million to $14.2 million for the three months ended June 30, 2026 from $14.0 million for the three months ended June 30, 2025. This was primarily due to the amortization of intangibles and depreciation during the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decreased $0.2 million to $27.6 million for the six months ended June 30, 2026 from $27.8 million for the six months ended June 30, 2025. This was primarily due to the amortization of intangibles and depreciation during the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net decreased $0.3 million to $2.6 million for the three months ended June 30, 2026 from $2.9 million for the three months ended June 30, 2025. This decrease was primarily due to lower interest rates on borrowings outstanding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net decreased $1.6 million to $4.4 million for the six months ended June 30, 2026 from $6.0 million for the six months ended June 30, 2025. This decrease was primarily due to lower interest rates on borrowings outstanding during the period.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 (Provision)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(provision) benefit decreased $6.0 million to a provision of $3.8 million for the three months ended June 30, 2026 from a benefit of $2.2 million for the three months ended June 30, 2025 primarily due to taxable income and non-deductible equity awards for the 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(provision) benefit decreased $13.7 million to a provision of $9.4 million for the six months ended June 30, 2026 from a benefit of $4.3 million for the six months ended June 30, 2025 primarily due to taxable income and non-deductible equity awards for the six months ended June 30,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measure liquidity in terms of our ability to fund the cash requirements of our business operations, including working capital needs, capital expenditures, including to execute on our new center strategy, contractual obligations, debt service, acquisitions, settlement of contingent considerations obligations, and other commitments with cash flows from operations and other sources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funding. Our principal sources of liquidity to date have included cash from operating activities, cash on hand and amounts available under that certain credit agreement entered into on December 19, 2024, by the Company, LifeStance Health Holdings, Inc., Lynnwood Intermediate Holdings, Inc., Capital One, National Association, and each lender party thereto (the "2024 Credit Agreement"). We had cash and cash equivalents of $225.9 million and $248.6 million as of June 30, 2026 and December 31,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will be sufficient to fund our operating and capital needs for at least the next 12 months from the issuance date of our June 30, 2026 unaudited financial statements, without any additional financing. Our assessment of the period of time through which our financial resources will be adequate to support our operations is a forward-looking statement and involves risks and uncertainties. Our actual results could vary because of, and our future capital requirements will depend on many factors, including our growth rate, the timing and extent of spending to acquire new centers and expand into new markets and the expansion of marketing activities. We may in the future enter into arrangements to acquire or invest in complementary businesses, services and technologies. We have based this estimate on assumptions that may prove to be wrong, and we could use our available capital resources sooner than we currently expect.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obligations primarily consist of our debt and lease obligations. We expect our cash generation from operations and future ability to refinance or secure additional financing facilities to be sufficient to repay our outstanding debt obligations and lease payment obligations. As of June 30, 2026 and December 31, 2025, there was an aggregate principal amount of $275.5 million and $282.8 million outstanding under the 2024 Credit Agreement, respectively. As of June 30, 2026, our non-cancellable future minimum operating lease payments totaled $239.1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19, 2024, we and our subsidiary, Lynnwood Intermediate Holdings, Inc., entered into the 2024 Credit Agreement. The 2024 Credit Agreement established a senior secured term loan facility (the “Term Loan Facility”) and a senior secured revolving loan facility of up to $100.0 million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loans under the Term Loan Facility and the Revolving Facility bear interest at a rate per annum equal to (x) term Secured Overnight Financing Rate (“SOFR”) (which term SOFR is subject to a minimum of 0.00%) plus an applicable margin of 3.00% subject to stepdowns based on leverage-based metrics or (y) an alternate base rate (which will be the highest of (i) the prime rate, (ii) 0.50% above the federal funds effective rate and (iii) one-month adjusted term SOFR (which term SOFR is subject to a minimum of 0.00%) plus 1.00%) plus an applicable margin of 2.00% subject to stepdowns based on leverage-based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2024 Credit Agreement also contains a maximum Total Net Leverage Ratio (as defined therein) financial maintenance covenant that requires the Total Net Leverage Ratio as of the last day of each fiscal quarter to not exceed 4.50:1.00. Additionally, the 2024 Credit Agreement also contains a maximum Interest Coverage Ratio (as defined therein) financial maintenance covenant that requires the Interest Coverage Ratio as of the last day of each fiscal quarter to not be less than 3.00:1.00. As of June 30, 2026, we were in compliance with all financial covenants under the 2024 Credit Agreement.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24, 2026, our Board of Directors approved a share repurchase program ("Repurchase Program"), which authorizes the Company to repurchase up to $100.0 million of our outstanding shares of common stock. We repurchased 6,000,000 and 13,000,000 shares for a total of approximately $48.5 million and $97.6 million during the three and six months ended June 30, 2026, respectively. As of June 30, 2026, we had approximately $2.8 million remaining under the Repurchase Program. For further information regarding the Repurchase Program, see Part II, Item 2. "Unregistered Sales of Equity Securities and Use of Proceeds" in this Quarterly Report on Form 10-Q.</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the periods indicated:</w:t>
      </w:r>
    </w:p>
    <w:tbl>
      <w:tblPr>
        <w:tblW w:w="7060" w:type="dxa"/>
        <w:jc w:val="left"/>
        <w:tblInd w:w="0" w:type="dxa"/>
        <w:tblLayout w:type="fixed"/>
        <w:tblCellMar>
          <w:top w:w="28" w:type="dxa"/>
          <w:left w:w="28" w:type="dxa"/>
          <w:bottom w:w="28" w:type="dxa"/>
          <w:right w:w="28" w:type="dxa"/>
        </w:tblCellMar>
      </w:tblPr>
      <w:tblGrid>
        <w:gridCol w:w="4321"/>
        <w:gridCol w:w="146"/>
        <w:gridCol w:w="213"/>
        <w:gridCol w:w="851"/>
        <w:gridCol w:w="168"/>
        <w:gridCol w:w="147"/>
        <w:gridCol w:w="213"/>
        <w:gridCol w:w="790"/>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248,642</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225,943</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operating activities provided $133.0 million of cash, primarily impacted by our $37.9 million net income, non-cash charges of $86.0 million and net cash provided by changes in operating assets and liabilities of $9.1 million. During the six months ended June 30, 2025, operating activities provided $61.3 million of cash, primarily impacted by non-cash charges of $89.4 million and partially offset by net cash used by changes in operating assets and liabilities of $25.0 million and our $3.1 million net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investing activities used $31.8 million of cash, primarily resulting from our purchases of property and equipment of $22.8 million and our business acquisitions of $9.0 million. During the six months ended June 30, 2025, investing activities used $14.9 million of cash resulting from our purchases of property and equipment.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financing activities used $123.9 million of cash, resulting primarily from payments of loan obligations of $7.3 million, payments of taxes related to net share settlement of equity awards of $24.4 million and common stock repurchases of $97.6 million and slightly offset by proceeds from the exercise of stock options of $5.4 million. During the six months ended June 30, 2025, financing activities used $12.0 million of cash, resulting primarily from payments of loan obligations of $3.6 million and payments of taxes related to net share settlement of equity awards of $8.4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have been prepared in accordance with GAAP. The consolidated financial statements included elsewhere in this Quarterly Report include the results of LifeStance Health Group, Inc., its wholly-owned subsidiaries and VIEs consolidated by LifeStance Health Group, Inc. in which LifeStance Health Group, Inc. has an interest and is the primary beneficiary for the period ended June 30, 2026. Preparation of the consolidated financial statements requires our management to make judgments, estimates and assumptions that impact the reported amount of total revenue and expenses, assets and liabilities and the disclosure of contingent assets and liabilities. We consider an accounting estimate to be critical when (1) the estimate made in accordance with GAAP is complex in nature or involves a significant level of estimation uncertainty and (2) the use of different judgments, estimates and assumptions have had or are reasonably likely to have a material impact on the financial condition or results of operations in our consolidated financial statements. Actual results could differ materially from those estimates. To the extent that there are material differences between these estimates and our actual results, our future financial statements will be affected. For a description of our policies regarding our critical accounting estimates, see “Critical Accounting Estimates” in our Annual Report on Form 10-K for the year ended December 31, 2025. There have been no significant changes in our critical accounting estimates or methodologies to our consolidated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Recently Adopted and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issued and adopted accounting pronouncements are described in Note 2 to our unaudited consolidated financial statements.</w:t>
      </w:r>
    </w:p>
    <w:p>
      <w:pPr>
        <w:pStyle w:val="TextBody"/>
        <w:bidi w:val="0"/>
        <w:spacing w:before="360" w:after="283"/>
        <w:jc w:val="left"/>
        <w:rPr>
          <w:rFonts w:ascii="Times New Roman" w:hAnsi="Times New Roman"/>
          <w:b/>
          <w:color w:val="000000"/>
          <w:sz w:val="20"/>
        </w:rPr>
      </w:pPr>
      <w:bookmarkStart w:id="10" w:name="i_item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condition due to adverse changes in financial market prices and rates. Our market risk exposure is primarily a result of exposure due to potential changes in inflation or interest rates. We do not hold financial instruments for trading purposes.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market risk exposure is changing prime rate-based interest rates. Interest rate risk is highly sensitive due to many factors, including U.S. monetary and tax policies, U.S. and international economic factors and other factors beyond our control. We may from time to time utilize interest rate swaps to manage overall borrowing costs under our credit facilities and reduce exposure to adverse fluctuations in interest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an aggregate principal amount of $275.5 million outstanding under our credit facilities. We do not believe that an increase or decrease in interest rates of 100 basis points would have a material effect on our business, financial condition or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_item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or the Exchange Act), as of the end of the period covered by this Quarterly Report on Form 10-Q. Based upon that evaluation, as a result of the material weaknesses in internal control over financial reporting described below, our Chief Executive Officer and Chief Financial Officer concluded that our disclosure controls and procedures were not effective as of June 30, 2026 due to the material weaknesses described below.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Previously Reported Material Weaknesses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As previously reported in the Annual Report on Form 10-K for the year ended December 31, 2025, in connection with the preparation of our consolidated financial statements as of and for the year ended December 31, 2019, we identified material weaknesses in our internal control over financial reporting, which continue to exist as of June 30, 2026. The material weaknesses we identified were as follows: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did not design and maintain an effective control environment commensurate with our financial reporting requirements due to an insufficient complement of resources in the accounting/finance and IT functions, with an appropriate level of knowledge, experience and training. This material weakness contributed to the following additional material weaknesses: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did not maintain formal accounting policies and procedures, and did not design and maintain effective controls related to significant accounts and disclosures to achieve complete, accurate and timely financial accounting, reporting and disclosures, including controls over account reconciliations, segregation of duties and the preparation and review of journal entries.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material weaknesses resulted in material misstatements related to the identification and valuation of intangible assets acquired in business combinations that impacted the classification of intangible assets and goodwill, related impacts to amortization and income tax expense, and the restatement of our previously issued annual consolidated financial statements as of and for the years ended December 31, 2019 and 2018 with respect to such intangibles assets acquired in business combinations. 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design and maintain effective controls over IT general controls for information systems that are relevant to the preparation of our consolidated financial statements. Specifically, we did not design and maintain: (i) program change management controls for financial systems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IT deficiencies did not result in a material misstatement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Actions Taken During the Quarter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remediation efforts were completed during the quarter ended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enhanced access management controls to ensure that logical access procedures are in place for privileged access to financial applications, programs, and data to appropriate company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described in Part II, Item 9A of our Annual Report on Form 10-K for the year ended December 31, 2025, we are continuing to enhance our overall control environment and are devoting substantial effort by enhancing our manual or automated controls to remediate the identified material weakness. For a more comprehensive discussion of the remedial measures which are being undertaken to address these material weaknesses, or the Remediation Plan, refer to Part II, Item 9A, “Remediation Plan for Material Weaknesses,” of our Annual Report on Form 10-K for the year ended December 31,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Status of Remediation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measures described above will remediate the control deficiencies for the specific areas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remedial controls operate for a sufficient period of time and management has concluded, through testing, that these controls are operating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evaluate current and projected resource needs on a regular basis and hire additional qualified resources as needed. Our ability to maintain qualified and adequate resources to support our business and our projected growth will be a critical component of our internal control environment.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taking actions to remediate the material weaknesses relating to our internal control over financial reporting. Other than the changes to our internal control over financial reporting described in "Actions Taken During the Quarter Ended June 30, 2026" above, 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Limitations on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
      <w:bookmarkEnd w:id="12"/>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of certain legal proceedings in which we are involved from time to time, please read Note 12, Commitments and Contingencies, to our unaudited consolidated financial statements in this report, which is incorporated into this item by reference.</w:t>
      </w:r>
    </w:p>
    <w:p>
      <w:pPr>
        <w:pStyle w:val="TextBody"/>
        <w:bidi w:val="0"/>
        <w:spacing w:before="240" w:after="283"/>
        <w:jc w:val="both"/>
        <w:rPr>
          <w:rFonts w:ascii="Times New Roman" w:hAnsi="Times New Roman"/>
          <w:b/>
          <w:color w:val="000000"/>
          <w:sz w:val="20"/>
        </w:rPr>
      </w:pPr>
      <w:bookmarkStart w:id="14" w:name="ii_item1a"/>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largest stockholders have significant influence over us, including influence over decisions that require the approval of stockholders, which could limit your ability to influence the outcome of key transactions, including a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investment entities affiliated with TPG Inc. (“TPG”), and affiliates of Summit Partners (“Summit” and together with TPG, our “Principal Stockholders”), collectively, beneficially owned approximately 35.4% of our common stock. For so long as the Principal Stockholders continue to own a significant percentage of our stock, the Principal Stockholders will still be able to significantly influence the composition of our Board of Directors and the approval of actions requiring stockholder approval. Accordingly, for such period of time, the Principal Stockholders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the Principal Stockholders continue to own a significant percentage of our stock, the Principal Stockholders will be able to cause or prevent a change of control of us or a change in the composition of our Board of Directors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Stockholders and their affiliates engage in a broad spectrum of activities, including investments in the healthcare industry generally. In the ordinary course of their business activities, the Principal Stockholders and their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amended and restated certificate of incorporation provides that none of the Principal Stockholders, any of their affiliates or any director who is not employed by us (including any non-employee director who serves as one of our officers in both his director and officer capacities) or its affiliates will have any duty to refrain from engaging, directly or indirectly, in the same business activities or similar business activities or lines of business in which we operate. The Principal Stockholders also may pursue acquisition opportunities that may be complementary to our business, and, as a result, those acquisition opportunities may not be available to us. In addition, each of the Principal Stockholders may have an interest in pursuing acquisitions, divestitures and other transactions that, in its judgment, could enhance its investment, even though such transactions might involve risks to you.</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no longer a “controlled company” within the meaning of The Nasdaq Global Select Market (“Nasdaq”) rules. However, we may continue to rely on exemptions from certain corporate governance requirements during a one-year transition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Previously, we were a “controlled company” under the listing standards of Nasdaq. As a “controlled company,” we were not required to comply with certain governance requirements, including the requirements to (i) have a majority of independent directors, (ii) maintain a compensation committee composed entirely of independent directors and (iii) maintain a corporate governance and nominating committee composed of independent directors or have the responsibilities that would otherwise be undertaken by a corporate governance and nominating committee undertaken solely by the independent directors of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 and compensation committees no later than the following phase-in schedule: (i) one independent committee member at the time it ceases to be a controlled company, (ii) a majority of independent committee members within 90 days of the date it ceases to be a controlled company and (iii) all independent committee members within one year of the date it ceases to be a controlled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we are fully subject to these requirements, our stockholders will not have the same protections afforded to stockholders of companies that are subject to all of the corporate governance requirements of Nasdaq.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presents information with respect to common stock purchases made by our Company during the three months ended June 30, 2026:</w:t>
      </w:r>
    </w:p>
    <w:tbl>
      <w:tblPr>
        <w:tblW w:w="10205" w:type="dxa"/>
        <w:jc w:val="left"/>
        <w:tblInd w:w="0" w:type="dxa"/>
        <w:tblLayout w:type="fixed"/>
        <w:tblCellMar>
          <w:top w:w="28" w:type="dxa"/>
          <w:left w:w="28" w:type="dxa"/>
          <w:bottom w:w="28" w:type="dxa"/>
          <w:right w:w="28" w:type="dxa"/>
        </w:tblCellMar>
      </w:tblPr>
      <w:tblGrid>
        <w:gridCol w:w="1317"/>
        <w:gridCol w:w="146"/>
        <w:gridCol w:w="293"/>
        <w:gridCol w:w="1152"/>
        <w:gridCol w:w="146"/>
        <w:gridCol w:w="146"/>
        <w:gridCol w:w="383"/>
        <w:gridCol w:w="849"/>
        <w:gridCol w:w="146"/>
        <w:gridCol w:w="146"/>
        <w:gridCol w:w="458"/>
        <w:gridCol w:w="1804"/>
        <w:gridCol w:w="146"/>
        <w:gridCol w:w="146"/>
        <w:gridCol w:w="624"/>
        <w:gridCol w:w="2007"/>
        <w:gridCol w:w="296"/>
      </w:tblGrid>
      <w:tr>
        <w:trPr/>
        <w:tc>
          <w:tcPr>
            <w:tcW w:w="1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 shares purchased as part of publicly announced program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Approximate dollar value of shares that may yet be purchased under the program</w:t>
            </w:r>
            <w:r>
              <w:rPr>
                <w:rFonts w:ascii="Times New Roman" w:hAnsi="Times New Roman"/>
                <w:color w:val="000000"/>
                <w:sz w:val="20"/>
              </w:rPr>
              <w:t> </w:t>
            </w:r>
            <w:r>
              <w:rPr>
                <w:rFonts w:ascii="Times New Roman" w:hAnsi="Times New Roman"/>
                <w:b/>
                <w:color w:val="000000"/>
                <w:sz w:val="13"/>
              </w:rPr>
              <w:t>(1)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50,930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2026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2,810</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24, 2026, the Company’s Board of Directors approved the Repurchase Program, which authorizes the Company to repurchase up to $100 million of the Company’s outstanding shares of common stock. The Repurchase Program does not obligate the Company to repurchase any particular amount of common stock. Stock repurchases under this program may be made at such times, prices, amounts and on such terms as the Company may determine from time to time to be advisable based on a variety of factors such as the market price of the Company’s common stock, the Company’s corporate requirements, other investment opportunities, and the overall market condition, with such repurchases effectuated in the open market or through privately negotiated transactions (including accelerated share repurchase programs), block purchases, or exchange or non-exchange transactions, and using such broker-dealer or broker-dealers as the Company may determine. The Board of Directors may suspend, modify or terminate the Repurchase Program at any time without prior notice.</w:t>
      </w:r>
    </w:p>
    <w:p>
      <w:pPr>
        <w:pStyle w:val="TextBody"/>
        <w:bidi w:val="0"/>
        <w:spacing w:before="240" w:after="283"/>
        <w:jc w:val="both"/>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our fiscal quarter ended June 30, 2026, two of our directors or officers (as defined in Rule 16a-1(f) under the Securities Exchange Act of 1934, as amended) entered into, modified (as to amount, price or timing of trades) or terminated (i)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 S-K).</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Lisa Miller, Chief Operating Officer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2026, Lisa Miller, Chief Operating Officer, entered into a Rule 10b5-1 trading plan pursuant to which Ms. Miller, acting through a broker, may sell up to an aggregate of 77,297 shares of our common stock, subject to adjustments for stock splits, stock combinations, stock dividends and other similar changes to our common stock. Sales of shares under the plan may only occur from August 6, 2026 to February 5, 2027. The plan is scheduled to terminate on February 5, 2027, subject to earlier termination upon the sale of all shares subject to the plan or the expiration of all sale orders under the plan, upon termination by Ms. Miller or the broker, or as otherwise provided in the plan.</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Vaughn Paunovich, Chief Technology Officer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2026, Vaughn Paunovich, Chief Technology Officer, entered into a Rule 10b5-1 trading plan pursuant to which Mr. Paunovich, acting through a broker, may sell up to an aggregate of 103,917 shares of our common stock, subject to adjustments for stock splits, stock combinations, stock dividends and other similar changes to our common stock. Sales of shares under the plan may only occur from August 6, 2026 to December 31, 2026. The plan is scheduled to terminate on December 31, 2026, subject to earlier termination upon the sale of all shares subject to the plan or the expiration of all sale orders under the plan, upon termination by Mr. Paunovich or the broker, or as otherwise provided in the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9" w:name="ii_item6"/>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574"/>
        <w:gridCol w:w="146"/>
        <w:gridCol w:w="588"/>
        <w:gridCol w:w="562"/>
        <w:gridCol w:w="726"/>
        <w:gridCol w:w="773"/>
        <w:gridCol w:w="943"/>
      </w:tblGrid>
      <w:tr>
        <w:trPr/>
        <w:tc>
          <w:tcPr>
            <w:tcW w:w="7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7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88" w:type="dxa"/>
            <w:tcBorders/>
            <w:shd w:fill="FFFFFF" w:val="clear"/>
            <w:vAlign w:val="center"/>
          </w:tcPr>
          <w:p>
            <w:pPr>
              <w:pStyle w:val="TableContents"/>
              <w:bidi w:val="0"/>
              <w:spacing w:before="0" w:after="283"/>
              <w:jc w:val="left"/>
              <w:rPr>
                <w:sz w:val="4"/>
                <w:szCs w:val="4"/>
              </w:rPr>
            </w:pPr>
            <w:r>
              <w:rPr>
                <w:sz w:val="4"/>
                <w:szCs w:val="4"/>
              </w:rPr>
            </w:r>
          </w:p>
        </w:tc>
        <w:tc>
          <w:tcPr>
            <w:tcW w:w="562"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943" w:type="dxa"/>
            <w:tcBorders/>
            <w:shd w:fill="FFFFFF" w:val="clear"/>
            <w:vAlign w:val="center"/>
          </w:tcPr>
          <w:p>
            <w:pPr>
              <w:pStyle w:val="TableContents"/>
              <w:bidi w:val="0"/>
              <w:spacing w:before="0" w:after="283"/>
              <w:jc w:val="left"/>
              <w:rPr>
                <w:sz w:val="4"/>
                <w:szCs w:val="4"/>
              </w:rPr>
            </w:pPr>
            <w:r>
              <w:rPr>
                <w:sz w:val="4"/>
                <w:szCs w:val="4"/>
              </w:rPr>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 Incorporated Herein by Reference</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7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5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s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st-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s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fs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compensatory plan, contract or arrangement.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w:t>
      </w:r>
    </w:p>
    <w:p>
      <w:pPr>
        <w:pStyle w:val="TextBody"/>
        <w:bidi w:val="0"/>
        <w:jc w:val="left"/>
        <w:rPr>
          <w:rFonts w:ascii="Times New Roman" w:hAnsi="Times New Roman"/>
          <w:color w:val="000000"/>
          <w:sz w:val="20"/>
        </w:rPr>
      </w:pPr>
      <w:r>
        <w:rPr>
          <w:rFonts w:ascii="Times New Roman" w:hAnsi="Times New Roman"/>
          <w:color w:val="000000"/>
          <w:sz w:val="20"/>
        </w:rPr>
        <w:t>its behalf by the undersigned thereunto duly authorized.</w:t>
      </w:r>
    </w:p>
    <w:p>
      <w:pPr>
        <w:pStyle w:val="TextBody"/>
        <w:bidi w:val="0"/>
        <w:jc w:val="left"/>
        <w:rPr/>
      </w:pPr>
      <w:r>
        <w:rPr/>
        <w:t> </w:t>
      </w:r>
    </w:p>
    <w:tbl>
      <w:tblPr>
        <w:tblW w:w="6112" w:type="dxa"/>
        <w:jc w:val="left"/>
        <w:tblInd w:w="0" w:type="dxa"/>
        <w:tblLayout w:type="fixed"/>
        <w:tblCellMar>
          <w:top w:w="28" w:type="dxa"/>
          <w:left w:w="28" w:type="dxa"/>
          <w:bottom w:w="28" w:type="dxa"/>
          <w:right w:w="28" w:type="dxa"/>
        </w:tblCellMar>
      </w:tblPr>
      <w:tblGrid>
        <w:gridCol w:w="1846"/>
        <w:gridCol w:w="109"/>
        <w:gridCol w:w="406"/>
        <w:gridCol w:w="375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LifeStance Health Group,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McGroarty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McGroarty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Chief Financial Officer and Treasurer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bookmarkStart w:id="21" w:name="lfst-ex31_1.htm"/>
      <w:bookmarkStart w:id="22" w:name="kslfst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Bourdon,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LifeStance Health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17" w:type="dxa"/>
        <w:jc w:val="left"/>
        <w:tblInd w:w="0" w:type="dxa"/>
        <w:tblLayout w:type="fixed"/>
        <w:tblCellMar>
          <w:top w:w="28" w:type="dxa"/>
          <w:left w:w="28" w:type="dxa"/>
          <w:bottom w:w="28" w:type="dxa"/>
          <w:right w:w="28" w:type="dxa"/>
        </w:tblCellMar>
      </w:tblPr>
      <w:tblGrid>
        <w:gridCol w:w="1846"/>
        <w:gridCol w:w="109"/>
        <w:gridCol w:w="406"/>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Bourdon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Bourdon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lfst-ex31_2.htm"/>
      <w:bookmarkStart w:id="24" w:name="kslfst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Ryan McGroarty,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LifeStance Health Group,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32" w:type="dxa"/>
        <w:jc w:val="left"/>
        <w:tblInd w:w="0" w:type="dxa"/>
        <w:tblLayout w:type="fixed"/>
        <w:tblCellMar>
          <w:top w:w="28" w:type="dxa"/>
          <w:left w:w="28" w:type="dxa"/>
          <w:bottom w:w="28" w:type="dxa"/>
          <w:right w:w="28" w:type="dxa"/>
        </w:tblCellMar>
      </w:tblPr>
      <w:tblGrid>
        <w:gridCol w:w="1846"/>
        <w:gridCol w:w="109"/>
        <w:gridCol w:w="406"/>
        <w:gridCol w:w="32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McGroarty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McGroarty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fst-ex32_1.htm"/>
      <w:bookmarkStart w:id="26" w:name="kslfst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LifeStance Health Group, Inc. (the “Company”) on Form 10-Q for the period ending June 30, 2026, as filed with the Securities and Exchange Commission on the date hereof (the “Report”), I, David Bourdon, Chief Executive Officer of LifeStance Health Group, Inc., hereby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17" w:type="dxa"/>
        <w:jc w:val="left"/>
        <w:tblInd w:w="0" w:type="dxa"/>
        <w:tblLayout w:type="fixed"/>
        <w:tblCellMar>
          <w:top w:w="28" w:type="dxa"/>
          <w:left w:w="28" w:type="dxa"/>
          <w:bottom w:w="28" w:type="dxa"/>
          <w:right w:w="28" w:type="dxa"/>
        </w:tblCellMar>
      </w:tblPr>
      <w:tblGrid>
        <w:gridCol w:w="1846"/>
        <w:gridCol w:w="109"/>
        <w:gridCol w:w="406"/>
        <w:gridCol w:w="2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Bourdon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Bourdon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fst-ex32_2.htm"/>
      <w:bookmarkStart w:id="28" w:name="kslfst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LifeStance Health Group, Inc. (the “Company”) on Form 10-Q for the period ending June 30, 2026, as filed with the Securities and Exchange Commission on the date hereof (the “Report”), I, Ryan McGroarty, Chief Financial Officer and Treasurer of LifeStance Health Group, Inc., hereby certify, pursuant to 18 U.S.C. § 1350, as adopted pursuant to §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632" w:type="dxa"/>
        <w:jc w:val="left"/>
        <w:tblInd w:w="0" w:type="dxa"/>
        <w:tblLayout w:type="fixed"/>
        <w:tblCellMar>
          <w:top w:w="28" w:type="dxa"/>
          <w:left w:w="28" w:type="dxa"/>
          <w:bottom w:w="28" w:type="dxa"/>
          <w:right w:w="28" w:type="dxa"/>
        </w:tblCellMar>
      </w:tblPr>
      <w:tblGrid>
        <w:gridCol w:w="1846"/>
        <w:gridCol w:w="109"/>
        <w:gridCol w:w="406"/>
        <w:gridCol w:w="32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McGroarty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Ryan McGroarty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18411</Words>
  <Characters>102384</Characters>
  <CharactersWithSpaces>121547</CharactersWithSpaces>
  <Paragraphs>5241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