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Paunovich Vukasin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LIFESTANCE HEALTH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4800 N. SCOTTSDALE ROAD, SUITE 2500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LifeStance Health Group, Inc.</w:t>
              </w:r>
            </w:hyperlink>
            <w:r>
              <w:rPr/>
              <w:t xml:space="preserve"> [ </w:t>
            </w:r>
            <w:r>
              <w:rPr>
                <w:rFonts w:ascii="Times;serif" w:hAnsi="Times;serif"/>
                <w:color w:val="0000FF"/>
                <w:sz w:val="24"/>
                <w:shd w:fill="FFFFFF" w:val="clear"/>
              </w:rPr>
              <w:t>LFST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42,067</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12.87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205,379</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$12.86 to $12.905 inclusive. The Reporting Person undertakes to provide to the Company, any security holder of the Company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Ryan Pardo,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8690" TargetMode="External"/><Relationship Id="rId5" Type="http://schemas.openxmlformats.org/officeDocument/2006/relationships/hyperlink" Target="http://www.sec.gov/cgi-bin/browse-edgar?action=getcompany&amp;CIK=00018452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3465</Characters>
  <CharactersWithSpaces>4031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